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hint="default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kern w:val="0"/>
          <w:sz w:val="32"/>
          <w:szCs w:val="32"/>
          <w:lang w:val="en-US" w:eastAsia="zh-CN"/>
        </w:rPr>
        <w:t>科室介绍</w:t>
      </w:r>
    </w:p>
    <w:p>
      <w:pPr>
        <w:widowControl/>
        <w:spacing w:line="375" w:lineRule="atLeast"/>
        <w:jc w:val="left"/>
        <w:rPr>
          <w:rFonts w:hint="eastAsia" w:asciiTheme="majorEastAsia" w:hAnsiTheme="majorEastAsia" w:eastAsiaTheme="majorEastAsia" w:cstheme="majorEastAsia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right="0" w:firstLine="640" w:firstLineChars="200"/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内分泌代谢科干部病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区·老年内分泌代谢科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是广西壮族自治区全科医师培训基地之一。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是广西糖尿病专科护士培训基地，是国家科普教育基地，科室设有糖尿病学校，糖尿病足风险评估室。科室以收治内分泌代谢性疾病为主，同时兼收老年各系统常见病。科室还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承担着自治区和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卫计委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的干部保健任务。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科室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集医疗、教学、科研于一体，全面发展；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科室是区内知名的老年专科病房，开放床位32张，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，有医护人员共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人，其中主任医师2人，，副主任医师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人，主治医师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人，住院医师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人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副主任护师1人，主管护师6人，护师10人，护士9人，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其中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护理人员中具有研究生学历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人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糖尿病专科护士5名，老年病专科护士3名。</w:t>
      </w:r>
    </w:p>
    <w:p>
      <w:pPr>
        <w:tabs>
          <w:tab w:val="left" w:pos="5100"/>
        </w:tabs>
        <w:ind w:firstLine="633" w:firstLineChars="198"/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本科室技术力量雄厚，诊疗设备先进。科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室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的医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护人员均在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内分泌专业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领域具有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丰富的理论及临床工作经验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全科医务人员具良好的医德医风，全心全意的为患者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提供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优质高效的服务。本科具有诊治内分泌疾病和老年病的丰富经验，对糖尿病、糖尿病急、慢性并发症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骨质疏松症、甲状腺疾病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包括甲状腺机能亢进症、甲状腺功能减退症、甲状腺炎、甲状腺结节、甲状腺肿瘤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、肾上腺疾病、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甲状旁腺疾病、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脑垂体疾病、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脂代谢紊乱、高尿酸血症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的诊疗水平居区内先进水平。对老年各系统疾病，包括冠心病、高血压、慢性脑供血不足、高血脂、肺部感染、慢性阻塞性肺疾病、胃炎、消化性溃疡及消化道出血、胰腺炎、泌尿系统感染等疾病也具有丰富的经验。</w:t>
      </w:r>
    </w:p>
    <w:p>
      <w:pPr>
        <w:tabs>
          <w:tab w:val="left" w:pos="5100"/>
        </w:tabs>
        <w:ind w:firstLine="633" w:firstLineChars="198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科室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  <w:t>长期从事内分泌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代谢性疾病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  <w:t>及老年病专业的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临床和研究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  <w:t>，在老年医学方面积累了丰富的经验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  <w:instrText xml:space="preserve"> HYPERLINK "http://jbk.39.net/tnb/" \t "_blank" </w:instrTex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糖尿病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的基础和临床研究方面居区内前列，在糖尿病及其慢性并发症的诊治、糖尿病自我监护和糖尿病宣教方面形成特色，尤其是糖尿病个体方案设计、难治性糖尿病的血糖控制、围术期血糖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管理、糖尿病并发症的康复治疗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方面具有丰富经验。科室一直致力于糖尿病教育和防治工作，建立了糖尿病患者治疗教育项目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  <w:t>科室还致力于骨质疏松的临床和基础研究，是区内较早开展这方面研究的单位之一，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555555"/>
          <w:spacing w:val="0"/>
          <w:sz w:val="32"/>
          <w:szCs w:val="32"/>
          <w:shd w:val="clear" w:fill="FFFFFF"/>
        </w:rPr>
        <w:t>对原发性骨质疏松和继发性骨质疏松作出早期诊断和治疗，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并进行康复训练及指导，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555555"/>
          <w:spacing w:val="0"/>
          <w:sz w:val="32"/>
          <w:szCs w:val="32"/>
          <w:shd w:val="clear" w:fill="FFFFFF"/>
        </w:rPr>
        <w:t>使患者的骨痛和骨折得到有效控制。</w:t>
      </w:r>
    </w:p>
    <w:p>
      <w:pP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  <w:t xml:space="preserve">   科室坚持医疗、科研、教学并重协调发展，在糖尿病及骨质疏松方面开展了多项科研工作。其中，主持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及参与有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  <w:t>国家自然基金项目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广西科技攻关项目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广西卫生厅重点课题，广西自然科学基金，及区卫生厅科研课题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555555"/>
          <w:spacing w:val="0"/>
          <w:sz w:val="32"/>
          <w:szCs w:val="32"/>
          <w:shd w:val="clear" w:fill="FFFFFF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  <w:t>有多篇论文在国内外学术杂志上发表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eastAsia="zh-CN"/>
        </w:rPr>
        <w:t>。</w:t>
      </w:r>
    </w:p>
    <w:p>
      <w:pP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联系电话：0771-2186196 （护士办）</w:t>
      </w:r>
    </w:p>
    <w:p>
      <w:pP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 xml:space="preserve">          0771-2186824（医生办）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0291B"/>
    <w:rsid w:val="4F90291B"/>
    <w:rsid w:val="7A7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2021-01-19T09:11:00Z</dcterms:created>
  <dc:creator>风中的歌</dc:creator>
  <cp:lastModifiedBy>风中的歌</cp:lastModifiedBy>
  <dcterms:modified xsi:type="dcterms:W3CDTF">2021-01-19T09:16:07Z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