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308"/>
        <w:gridCol w:w="5400"/>
        <w:gridCol w:w="709"/>
        <w:gridCol w:w="851"/>
      </w:tblGrid>
      <w:tr w:rsidR="0082371F" w:rsidRPr="00817FD1" w14:paraId="5082F5FE" w14:textId="77777777">
        <w:trPr>
          <w:trHeight w:val="861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FF5637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b/>
                <w:szCs w:val="21"/>
              </w:rPr>
            </w:pPr>
            <w:r w:rsidRPr="00817FD1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vAlign w:val="center"/>
          </w:tcPr>
          <w:p w14:paraId="259B7331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b/>
                <w:szCs w:val="21"/>
              </w:rPr>
            </w:pPr>
            <w:r w:rsidRPr="00817FD1">
              <w:rPr>
                <w:rFonts w:ascii="宋体" w:hAnsi="宋体" w:cs="宋体" w:hint="eastAsia"/>
                <w:b/>
                <w:szCs w:val="21"/>
              </w:rPr>
              <w:t>评审因素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79EF857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b/>
                <w:szCs w:val="21"/>
              </w:rPr>
            </w:pPr>
            <w:r w:rsidRPr="00817FD1">
              <w:rPr>
                <w:rFonts w:ascii="宋体" w:hAnsi="宋体" w:cs="宋体" w:hint="eastAsia"/>
                <w:b/>
                <w:szCs w:val="21"/>
              </w:rPr>
              <w:t>评分细则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A9FDC5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b/>
                <w:szCs w:val="21"/>
              </w:rPr>
            </w:pPr>
            <w:r w:rsidRPr="00817FD1">
              <w:rPr>
                <w:rFonts w:ascii="宋体" w:hAnsi="宋体" w:cs="宋体" w:hint="eastAsia"/>
                <w:b/>
                <w:szCs w:val="21"/>
              </w:rPr>
              <w:t>权重（%）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793213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b/>
                <w:szCs w:val="21"/>
              </w:rPr>
            </w:pPr>
            <w:r w:rsidRPr="00817FD1">
              <w:rPr>
                <w:rFonts w:ascii="宋体" w:hAnsi="宋体" w:cs="宋体" w:hint="eastAsia"/>
                <w:b/>
                <w:szCs w:val="21"/>
              </w:rPr>
              <w:t>分值（分）</w:t>
            </w:r>
          </w:p>
        </w:tc>
      </w:tr>
      <w:tr w:rsidR="0082371F" w:rsidRPr="00817FD1" w14:paraId="553F8FA4" w14:textId="77777777">
        <w:trPr>
          <w:trHeight w:val="383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14:paraId="4B23EB1D" w14:textId="77777777" w:rsidR="0082371F" w:rsidRPr="00817FD1" w:rsidRDefault="008B587E" w:rsidP="00434EB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Cs w:val="21"/>
              </w:rPr>
              <w:t>一</w:t>
            </w:r>
          </w:p>
        </w:tc>
        <w:tc>
          <w:tcPr>
            <w:tcW w:w="8268" w:type="dxa"/>
            <w:gridSpan w:val="4"/>
            <w:tcBorders>
              <w:right w:val="single" w:sz="12" w:space="0" w:color="auto"/>
            </w:tcBorders>
            <w:vAlign w:val="center"/>
          </w:tcPr>
          <w:p w14:paraId="3BFF8935" w14:textId="77777777" w:rsidR="0082371F" w:rsidRPr="00817FD1" w:rsidRDefault="008B587E" w:rsidP="00434EB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 w:val="30"/>
                <w:szCs w:val="30"/>
              </w:rPr>
              <w:t>技术部分(合计48分)</w:t>
            </w:r>
          </w:p>
        </w:tc>
      </w:tr>
      <w:tr w:rsidR="0082371F" w:rsidRPr="00817FD1" w14:paraId="7198315C" w14:textId="77777777">
        <w:trPr>
          <w:trHeight w:val="1094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14:paraId="02767B2C" w14:textId="77777777" w:rsidR="0082371F" w:rsidRPr="00817FD1" w:rsidRDefault="0082371F" w:rsidP="00434EBD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165FEC60" w14:textId="77777777" w:rsidR="0082371F" w:rsidRPr="00817FD1" w:rsidRDefault="008B587E" w:rsidP="00434EBD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817FD1">
              <w:rPr>
                <w:rFonts w:hint="eastAsia"/>
                <w:b/>
              </w:rPr>
              <w:t>组网方案</w:t>
            </w:r>
          </w:p>
        </w:tc>
        <w:tc>
          <w:tcPr>
            <w:tcW w:w="5400" w:type="dxa"/>
          </w:tcPr>
          <w:p w14:paraId="78FBEADA" w14:textId="77777777" w:rsidR="0082371F" w:rsidRPr="00817FD1" w:rsidRDefault="008B587E" w:rsidP="00434EBD">
            <w:pPr>
              <w:jc w:val="left"/>
              <w:textAlignment w:val="baseline"/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一档（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6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分）：组网方案基本符合采购要求，方案较简单的；</w:t>
            </w:r>
          </w:p>
          <w:p w14:paraId="736DA514" w14:textId="77777777" w:rsidR="0082371F" w:rsidRPr="00817FD1" w:rsidRDefault="008B587E" w:rsidP="00434EBD">
            <w:pPr>
              <w:jc w:val="left"/>
              <w:textAlignment w:val="baseline"/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二档（12分）：组网方案符合采购要求，基本可行的，短信平台接入网技术方案有接入网方案的；</w:t>
            </w:r>
          </w:p>
          <w:p w14:paraId="5062E215" w14:textId="77777777" w:rsidR="0082371F" w:rsidRPr="00817FD1" w:rsidRDefault="008B587E" w:rsidP="00434EBD">
            <w:pPr>
              <w:jc w:val="left"/>
              <w:textAlignment w:val="baseline"/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三档（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1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8分）：组网方案较好满足采购要求，结构合理、设计内容较完整的，短信平台接入网技术方案有接入网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、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汇聚城域网方案的；</w:t>
            </w:r>
          </w:p>
          <w:p w14:paraId="7C88162B" w14:textId="77777777" w:rsidR="0082371F" w:rsidRPr="00817FD1" w:rsidRDefault="008B587E" w:rsidP="00434EBD">
            <w:pPr>
              <w:jc w:val="left"/>
              <w:textAlignment w:val="baseline"/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四档（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24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分）：组网方案很好满足采购要求，结构清晰全面，设计内容针对性强，短信平台接入网技术方案有接入网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、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汇聚城域网和核心层骨干网方案的。</w:t>
            </w:r>
          </w:p>
          <w:p w14:paraId="0BC767F6" w14:textId="77777777" w:rsidR="0082371F" w:rsidRPr="00817FD1" w:rsidRDefault="0082371F" w:rsidP="00434EBD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EBF10D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8B71C4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Cs w:val="21"/>
              </w:rPr>
              <w:t>24分</w:t>
            </w:r>
          </w:p>
        </w:tc>
      </w:tr>
      <w:tr w:rsidR="0082371F" w:rsidRPr="00817FD1" w14:paraId="4899FA8F" w14:textId="77777777">
        <w:trPr>
          <w:trHeight w:val="861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14:paraId="76AA895C" w14:textId="77777777" w:rsidR="0082371F" w:rsidRPr="00817FD1" w:rsidRDefault="0082371F" w:rsidP="00434EBD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076480D7" w14:textId="77777777" w:rsidR="0082371F" w:rsidRPr="00817FD1" w:rsidRDefault="008B587E" w:rsidP="00434EBD">
            <w:pPr>
              <w:jc w:val="center"/>
              <w:rPr>
                <w:b/>
              </w:rPr>
            </w:pPr>
            <w:r w:rsidRPr="00817FD1">
              <w:rPr>
                <w:rFonts w:hint="eastAsia"/>
                <w:b/>
              </w:rPr>
              <w:t>项目组织施工方案</w:t>
            </w:r>
          </w:p>
        </w:tc>
        <w:tc>
          <w:tcPr>
            <w:tcW w:w="5400" w:type="dxa"/>
          </w:tcPr>
          <w:p w14:paraId="35AF79AB" w14:textId="32B5B4FE" w:rsidR="0082371F" w:rsidRPr="00817FD1" w:rsidRDefault="008B587E" w:rsidP="00434EBD">
            <w:pPr>
              <w:textAlignment w:val="baseline"/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一档（</w:t>
            </w:r>
            <w:r w:rsidR="003D573C" w:rsidRPr="00817FD1">
              <w:rPr>
                <w:rStyle w:val="NormalCharacter"/>
                <w:rFonts w:ascii="宋体" w:hAnsi="宋体"/>
                <w:sz w:val="24"/>
                <w:szCs w:val="24"/>
              </w:rPr>
              <w:t>12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分）：有项目执行组织措施、项目执行保障措施，实施组织方案一般；</w:t>
            </w:r>
            <w:r w:rsidR="003D573C" w:rsidRPr="00817FD1"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  <w:p w14:paraId="27DDC94F" w14:textId="01C146F3" w:rsidR="00FE6461" w:rsidRPr="00817FD1" w:rsidRDefault="008B587E" w:rsidP="00434EBD">
            <w:pPr>
              <w:textAlignment w:val="baseline"/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二档（1</w:t>
            </w:r>
            <w:r w:rsidR="003D573C" w:rsidRPr="00817FD1">
              <w:rPr>
                <w:rStyle w:val="NormalCharacter"/>
                <w:rFonts w:ascii="宋体" w:hAnsi="宋体"/>
                <w:sz w:val="24"/>
                <w:szCs w:val="24"/>
              </w:rPr>
              <w:t>8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分）：项目执行组织措施、项目执行保障措施详细可行，针对本项目情况</w:t>
            </w:r>
            <w:r w:rsidR="003D573C"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投入人员配置方案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合理</w:t>
            </w:r>
            <w:r w:rsidR="00287B49"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，提供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；方案资料齐全、实施组织方案良好；项目团队中至少包含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5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名持线务员证工程人员，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5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名持电工作业证工程人员；</w:t>
            </w:r>
          </w:p>
          <w:p w14:paraId="0280A3A2" w14:textId="608CFB69" w:rsidR="0082371F" w:rsidRPr="00817FD1" w:rsidRDefault="00287B49" w:rsidP="00434EBD">
            <w:pPr>
              <w:textAlignment w:val="baseline"/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三</w:t>
            </w:r>
            <w:r w:rsidR="008B587E" w:rsidRPr="00817FD1">
              <w:rPr>
                <w:rStyle w:val="NormalCharacter"/>
                <w:rFonts w:ascii="宋体" w:hAnsi="宋体"/>
                <w:sz w:val="24"/>
                <w:szCs w:val="24"/>
              </w:rPr>
              <w:t>档（24分）：项目执行组织措施、项目执行保障措施详细可行，针对本项目情况投入人员多，技术方案非常详细可行，完全准确地理解客户需求，技术架构清晰，系统功能配置非常齐全，设备部署科学可靠，施工管理方案详细明了，有详细的进度控制和风险控制措施，人员安排科学合理，项目团队中至少包含</w:t>
            </w:r>
            <w:r w:rsidR="008B587E"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10</w:t>
            </w:r>
            <w:r w:rsidR="008B587E" w:rsidRPr="00817FD1">
              <w:rPr>
                <w:rStyle w:val="NormalCharacter"/>
                <w:rFonts w:ascii="宋体" w:hAnsi="宋体"/>
                <w:sz w:val="24"/>
                <w:szCs w:val="24"/>
              </w:rPr>
              <w:t>名持线务员证工程人员，</w:t>
            </w:r>
            <w:r w:rsidR="008B587E"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10</w:t>
            </w:r>
            <w:r w:rsidR="003D573C" w:rsidRPr="00817FD1">
              <w:rPr>
                <w:rStyle w:val="NormalCharacter"/>
                <w:rFonts w:ascii="宋体" w:hAnsi="宋体"/>
                <w:sz w:val="24"/>
                <w:szCs w:val="24"/>
              </w:rPr>
              <w:t>名持电工作业证工程人员</w:t>
            </w:r>
            <w:r w:rsidR="008B587E" w:rsidRPr="00817FD1">
              <w:rPr>
                <w:rStyle w:val="NormalCharacter"/>
                <w:rFonts w:ascii="宋体" w:hAnsi="宋体"/>
                <w:sz w:val="24"/>
                <w:szCs w:val="24"/>
              </w:rPr>
              <w:t>；</w:t>
            </w:r>
          </w:p>
          <w:p w14:paraId="1C123FB7" w14:textId="42350051" w:rsidR="0082371F" w:rsidRPr="00817FD1" w:rsidRDefault="008B587E" w:rsidP="00434EBD">
            <w:pPr>
              <w:ind w:firstLine="420"/>
              <w:textAlignment w:val="baseline"/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（需在</w:t>
            </w:r>
            <w:r w:rsidR="003C4D4D"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响应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文件中提供以上人员的资质证书复印件、在</w:t>
            </w:r>
            <w:r w:rsidR="0090799C"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报名</w:t>
            </w:r>
            <w:r w:rsidR="00DE3D57"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响应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截止之日前半年内连续三个月的</w:t>
            </w:r>
            <w:r w:rsidR="003C4D4D"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供应商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为其缴纳的社保缴纳证明，并加盖公章）</w:t>
            </w:r>
          </w:p>
          <w:p w14:paraId="03231C5D" w14:textId="77777777" w:rsidR="0082371F" w:rsidRPr="00817FD1" w:rsidRDefault="0082371F" w:rsidP="00434EBD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03CDD6" w14:textId="77777777" w:rsidR="0082371F" w:rsidRPr="00817FD1" w:rsidRDefault="0082371F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C7179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Cs w:val="21"/>
              </w:rPr>
              <w:t>24分</w:t>
            </w:r>
          </w:p>
        </w:tc>
      </w:tr>
      <w:tr w:rsidR="0082371F" w:rsidRPr="00817FD1" w14:paraId="758F410E" w14:textId="77777777">
        <w:trPr>
          <w:trHeight w:val="861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14:paraId="562E245A" w14:textId="77777777" w:rsidR="0082371F" w:rsidRPr="00817FD1" w:rsidRDefault="008B587E" w:rsidP="00434EBD">
            <w:pPr>
              <w:pStyle w:val="a8"/>
              <w:ind w:firstLineChars="0" w:firstLine="0"/>
              <w:rPr>
                <w:rFonts w:ascii="宋体" w:hAnsi="宋体"/>
                <w:szCs w:val="21"/>
              </w:rPr>
            </w:pPr>
            <w:r w:rsidRPr="00817FD1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8268" w:type="dxa"/>
            <w:gridSpan w:val="4"/>
            <w:tcBorders>
              <w:right w:val="single" w:sz="12" w:space="0" w:color="auto"/>
            </w:tcBorders>
            <w:vAlign w:val="center"/>
          </w:tcPr>
          <w:p w14:paraId="433579D2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 w:val="30"/>
                <w:szCs w:val="30"/>
              </w:rPr>
              <w:t>商务分(合计42分)</w:t>
            </w:r>
          </w:p>
        </w:tc>
      </w:tr>
      <w:tr w:rsidR="0082371F" w:rsidRPr="00817FD1" w14:paraId="59FEA234" w14:textId="77777777">
        <w:trPr>
          <w:trHeight w:val="861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14:paraId="13BFB923" w14:textId="77777777" w:rsidR="0082371F" w:rsidRPr="00817FD1" w:rsidRDefault="008B587E" w:rsidP="00434EBD">
            <w:pPr>
              <w:pStyle w:val="a8"/>
              <w:ind w:firstLineChars="0" w:firstLine="0"/>
              <w:rPr>
                <w:rFonts w:ascii="宋体" w:hAnsi="宋体"/>
                <w:szCs w:val="21"/>
              </w:rPr>
            </w:pPr>
            <w:r w:rsidRPr="00817FD1"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308" w:type="dxa"/>
            <w:vAlign w:val="center"/>
          </w:tcPr>
          <w:p w14:paraId="3D2E41B7" w14:textId="77777777" w:rsidR="0082371F" w:rsidRPr="00817FD1" w:rsidRDefault="008B587E" w:rsidP="00434EBD">
            <w:pPr>
              <w:jc w:val="center"/>
              <w:rPr>
                <w:rFonts w:ascii="宋体" w:hAnsi="宋体"/>
                <w:szCs w:val="21"/>
              </w:rPr>
            </w:pPr>
            <w:r w:rsidRPr="00817FD1">
              <w:rPr>
                <w:rFonts w:hint="eastAsia"/>
                <w:b/>
              </w:rPr>
              <w:t>售后服务方案</w:t>
            </w:r>
          </w:p>
        </w:tc>
        <w:tc>
          <w:tcPr>
            <w:tcW w:w="5400" w:type="dxa"/>
          </w:tcPr>
          <w:p w14:paraId="5796FB74" w14:textId="77777777" w:rsidR="002053B2" w:rsidRPr="00817FD1" w:rsidRDefault="008B587E" w:rsidP="00434EBD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一档（5分）：满足</w:t>
            </w:r>
            <w:r w:rsidR="00FE6461"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医院基本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售后服务要求的。</w:t>
            </w:r>
          </w:p>
          <w:p w14:paraId="329BE6B1" w14:textId="219E1799" w:rsidR="0082371F" w:rsidRPr="00817FD1" w:rsidRDefault="002053B2" w:rsidP="00434EBD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（基本售后服务要求附后）</w:t>
            </w:r>
          </w:p>
          <w:p w14:paraId="21EDECA5" w14:textId="77777777" w:rsidR="0082371F" w:rsidRPr="00817FD1" w:rsidRDefault="008B587E" w:rsidP="00434EBD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二档（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1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0分）：在第一档基础上，在系统维护、响应时间提供更优惠的条件，保证设备运行的；提供故障处理流程、维护保障流程及组织架构，能提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lastRenderedPageBreak/>
              <w:t>供专有免费服务电话的；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  <w:p w14:paraId="3F9C2F56" w14:textId="77777777" w:rsidR="0082371F" w:rsidRPr="00817FD1" w:rsidRDefault="008B587E" w:rsidP="00434EBD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三档（</w:t>
            </w:r>
            <w:r w:rsidRPr="00817FD1">
              <w:rPr>
                <w:rStyle w:val="NormalCharacter"/>
                <w:rFonts w:ascii="宋体" w:hAnsi="宋体"/>
                <w:sz w:val="24"/>
                <w:szCs w:val="24"/>
              </w:rPr>
              <w:t>1</w:t>
            </w:r>
            <w:r w:rsidRPr="00817FD1">
              <w:rPr>
                <w:rStyle w:val="NormalCharacter"/>
                <w:rFonts w:ascii="宋体" w:hAnsi="宋体" w:hint="eastAsia"/>
                <w:sz w:val="24"/>
                <w:szCs w:val="24"/>
              </w:rPr>
              <w:t>5分）：在第二档基础上，提供故障处理流程、维护保障流程及组织架构，提供7×24小时服务电话的，有良好的免费培训计划、培训场地（供应商提供）的；具备光缆线路专业化日常维护及应急抢修队伍；故障时有替代产品、提供技术支持服务、定期回访的。</w:t>
            </w:r>
            <w:r w:rsidRPr="00817FD1">
              <w:rPr>
                <w:rStyle w:val="NormalCharacter"/>
                <w:rFonts w:ascii="宋体" w:hAnsi="宋体" w:hint="eastAsia"/>
                <w:color w:val="000000" w:themeColor="text1"/>
                <w:sz w:val="24"/>
                <w:szCs w:val="24"/>
              </w:rPr>
              <w:t>具有</w:t>
            </w:r>
            <w:r w:rsidRPr="00817FD1">
              <w:rPr>
                <w:rFonts w:ascii="宋体" w:hAnsi="宋体" w:cs="宋体"/>
                <w:color w:val="000000" w:themeColor="text1"/>
                <w:sz w:val="24"/>
                <w:szCs w:val="24"/>
              </w:rPr>
              <w:t>本地化服务能力，在本地拥有常驻服务和技术支持机构以及较强的专业技术队伍，能提供快速的售后服务响应</w:t>
            </w:r>
            <w:r w:rsidRPr="00817FD1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。</w:t>
            </w:r>
          </w:p>
          <w:p w14:paraId="65D0D553" w14:textId="77777777" w:rsidR="0082371F" w:rsidRPr="00817FD1" w:rsidRDefault="0082371F" w:rsidP="00434E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94BE40" w14:textId="77777777" w:rsidR="0082371F" w:rsidRPr="00817FD1" w:rsidRDefault="0082371F" w:rsidP="00434E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5362B5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Cs w:val="21"/>
              </w:rPr>
              <w:t>15</w:t>
            </w:r>
          </w:p>
        </w:tc>
      </w:tr>
      <w:tr w:rsidR="0082371F" w:rsidRPr="00817FD1" w14:paraId="1283E862" w14:textId="77777777">
        <w:trPr>
          <w:trHeight w:val="861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14:paraId="18A186AD" w14:textId="77777777" w:rsidR="0082371F" w:rsidRPr="00817FD1" w:rsidRDefault="008B587E" w:rsidP="00434EBD">
            <w:pPr>
              <w:pStyle w:val="a8"/>
              <w:ind w:firstLineChars="0" w:firstLine="0"/>
              <w:rPr>
                <w:rFonts w:ascii="宋体" w:hAnsi="宋体"/>
                <w:szCs w:val="21"/>
              </w:rPr>
            </w:pPr>
            <w:r w:rsidRPr="00817FD1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308" w:type="dxa"/>
            <w:vAlign w:val="center"/>
          </w:tcPr>
          <w:p w14:paraId="07B84FE7" w14:textId="77777777" w:rsidR="0082371F" w:rsidRPr="00817FD1" w:rsidRDefault="008B587E" w:rsidP="00434EBD">
            <w:pPr>
              <w:jc w:val="center"/>
              <w:rPr>
                <w:rFonts w:ascii="宋体" w:hAnsi="宋体"/>
                <w:szCs w:val="21"/>
              </w:rPr>
            </w:pPr>
            <w:r w:rsidRPr="00817FD1">
              <w:rPr>
                <w:rFonts w:hint="eastAsia"/>
                <w:b/>
              </w:rPr>
              <w:t>电信服务质量分</w:t>
            </w:r>
          </w:p>
        </w:tc>
        <w:tc>
          <w:tcPr>
            <w:tcW w:w="5400" w:type="dxa"/>
          </w:tcPr>
          <w:p w14:paraId="44DDF51C" w14:textId="60722C26" w:rsidR="0082371F" w:rsidRPr="00817FD1" w:rsidRDefault="008B587E" w:rsidP="00434EB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一档（</w:t>
            </w:r>
            <w:r w:rsidRPr="00817FD1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分）：</w:t>
            </w:r>
            <w:r w:rsidR="003C4D4D"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供应商</w:t>
            </w: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采用的短信业务基础电信业务经营单位服务质量一般，季度申诉量≤16000（人次）的，基本满足系统数据传输保障需求的；</w:t>
            </w:r>
          </w:p>
          <w:p w14:paraId="121102C0" w14:textId="0DE6059A" w:rsidR="0082371F" w:rsidRPr="00817FD1" w:rsidRDefault="008B587E" w:rsidP="00434EB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二档（</w:t>
            </w:r>
            <w:r w:rsidRPr="00817FD1"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分）：</w:t>
            </w:r>
            <w:r w:rsidR="003C4D4D"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供应商</w:t>
            </w: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采用的短信业务基础电信业务经营单位服务质量较好，季度申诉量≤12000（人次）的，较好满足系统数据传输保障需求的；</w:t>
            </w:r>
          </w:p>
          <w:p w14:paraId="31A32F7B" w14:textId="3E8686AC" w:rsidR="0082371F" w:rsidRPr="00817FD1" w:rsidRDefault="008B587E" w:rsidP="00434EB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三档（</w:t>
            </w:r>
            <w:r w:rsidRPr="00817FD1">
              <w:rPr>
                <w:rFonts w:ascii="宋体" w:hAnsi="宋体"/>
                <w:color w:val="000000"/>
                <w:sz w:val="24"/>
                <w:szCs w:val="24"/>
              </w:rPr>
              <w:t>15</w:t>
            </w: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分）：</w:t>
            </w:r>
            <w:r w:rsidR="003C4D4D"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供应商</w:t>
            </w: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采用的短信业务基础电信业务经营单位服务质量优异，季度申诉量≤8000（人次）的，很好满足系统数据传输保障需求的。</w:t>
            </w:r>
          </w:p>
          <w:p w14:paraId="5C615035" w14:textId="0E9E9943" w:rsidR="0082371F" w:rsidRPr="00817FD1" w:rsidRDefault="008B587E" w:rsidP="00434EBD">
            <w:pPr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（季度投诉量以工业和信息化部最新发布的《工业和信息化部关于电信服务质量的通告（2020年第4号）》中2020年三季度基础电信企业用户申诉分类统计表为准，</w:t>
            </w:r>
            <w:r w:rsidR="0006645A"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需在</w:t>
            </w:r>
            <w:r w:rsidR="00CF789B"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响应文件中</w:t>
            </w:r>
            <w:r w:rsidRPr="00817FD1">
              <w:rPr>
                <w:rFonts w:ascii="宋体" w:hAnsi="宋体" w:hint="eastAsia"/>
                <w:color w:val="000000"/>
                <w:sz w:val="24"/>
                <w:szCs w:val="24"/>
              </w:rPr>
              <w:t>提供截图证明复印件）（或能提供同类报告证明材料）</w:t>
            </w:r>
          </w:p>
          <w:p w14:paraId="1C4EE8E2" w14:textId="77777777" w:rsidR="0082371F" w:rsidRPr="00817FD1" w:rsidRDefault="0082371F" w:rsidP="00434E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A48E199" w14:textId="77777777" w:rsidR="0082371F" w:rsidRPr="00817FD1" w:rsidRDefault="0082371F" w:rsidP="00434E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036699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Cs w:val="21"/>
              </w:rPr>
              <w:t>15</w:t>
            </w:r>
          </w:p>
        </w:tc>
      </w:tr>
      <w:tr w:rsidR="0082371F" w:rsidRPr="00817FD1" w14:paraId="3812BEB1" w14:textId="77777777">
        <w:trPr>
          <w:trHeight w:val="861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14:paraId="6976A12F" w14:textId="77777777" w:rsidR="0082371F" w:rsidRPr="00817FD1" w:rsidRDefault="0082371F" w:rsidP="00434EBD">
            <w:pPr>
              <w:pStyle w:val="a8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07128103" w14:textId="77777777" w:rsidR="0082371F" w:rsidRPr="00817FD1" w:rsidRDefault="008B587E" w:rsidP="00434EBD">
            <w:pPr>
              <w:jc w:val="center"/>
              <w:rPr>
                <w:rFonts w:ascii="宋体" w:hAnsi="宋体"/>
                <w:szCs w:val="21"/>
              </w:rPr>
            </w:pPr>
            <w:r w:rsidRPr="00817FD1">
              <w:rPr>
                <w:rFonts w:hAnsi="宋体" w:hint="eastAsia"/>
                <w:b/>
                <w:sz w:val="24"/>
              </w:rPr>
              <w:t>业绩信誉分</w:t>
            </w:r>
          </w:p>
        </w:tc>
        <w:tc>
          <w:tcPr>
            <w:tcW w:w="5400" w:type="dxa"/>
          </w:tcPr>
          <w:p w14:paraId="6BEC0A02" w14:textId="5BA1E54C" w:rsidR="0082371F" w:rsidRPr="00817FD1" w:rsidRDefault="008B587E" w:rsidP="00434EBD">
            <w:pPr>
              <w:pStyle w:val="a6"/>
              <w:rPr>
                <w:rFonts w:hAnsi="宋体" w:cs="宋体"/>
                <w:bCs/>
                <w:color w:val="000000" w:themeColor="text1"/>
                <w:spacing w:val="-6"/>
                <w:sz w:val="24"/>
                <w:szCs w:val="24"/>
              </w:rPr>
            </w:pPr>
            <w:r w:rsidRPr="00817FD1">
              <w:rPr>
                <w:rFonts w:hAnsi="宋体" w:cs="宋体" w:hint="eastAsia"/>
                <w:bCs/>
                <w:color w:val="000000" w:themeColor="text1"/>
                <w:spacing w:val="-6"/>
                <w:sz w:val="24"/>
                <w:szCs w:val="24"/>
              </w:rPr>
              <w:t>（1）供应商</w:t>
            </w:r>
            <w:r w:rsidRPr="00817FD1">
              <w:rPr>
                <w:color w:val="000000" w:themeColor="text1"/>
                <w:sz w:val="24"/>
                <w:szCs w:val="24"/>
              </w:rPr>
              <w:t>201</w:t>
            </w:r>
            <w:r w:rsidRPr="00817FD1">
              <w:rPr>
                <w:rFonts w:hint="eastAsia"/>
                <w:color w:val="000000" w:themeColor="text1"/>
                <w:sz w:val="24"/>
                <w:szCs w:val="24"/>
              </w:rPr>
              <w:t>8年以来</w:t>
            </w:r>
            <w:r w:rsidRPr="00817FD1">
              <w:rPr>
                <w:rFonts w:hAnsi="宋体" w:hint="eastAsia"/>
                <w:color w:val="000000" w:themeColor="text1"/>
                <w:spacing w:val="-12"/>
                <w:sz w:val="24"/>
                <w:szCs w:val="24"/>
              </w:rPr>
              <w:t>同类服务的业绩</w:t>
            </w:r>
            <w:r w:rsidRPr="00817FD1">
              <w:rPr>
                <w:rFonts w:hint="eastAsia"/>
                <w:color w:val="000000" w:themeColor="text1"/>
                <w:sz w:val="24"/>
                <w:szCs w:val="24"/>
              </w:rPr>
              <w:t>（以中标通知书或合同复印件为准</w:t>
            </w:r>
            <w:r w:rsidR="0006645A" w:rsidRPr="00817FD1">
              <w:rPr>
                <w:rFonts w:hint="eastAsia"/>
                <w:color w:val="000000" w:themeColor="text1"/>
                <w:sz w:val="24"/>
                <w:szCs w:val="24"/>
              </w:rPr>
              <w:t>，需在响应文件中提供</w:t>
            </w:r>
            <w:r w:rsidRPr="00817FD1">
              <w:rPr>
                <w:rFonts w:hint="eastAsia"/>
                <w:color w:val="000000" w:themeColor="text1"/>
                <w:sz w:val="24"/>
                <w:szCs w:val="24"/>
              </w:rPr>
              <w:t>）每项得1.5分，满分3分。</w:t>
            </w:r>
          </w:p>
          <w:p w14:paraId="5948D839" w14:textId="1FB1AEF2" w:rsidR="0082371F" w:rsidRPr="00817FD1" w:rsidRDefault="008B587E" w:rsidP="00434EBD">
            <w:pPr>
              <w:pStyle w:val="a6"/>
              <w:rPr>
                <w:rFonts w:hAnsi="宋体" w:cs="宋体"/>
                <w:bCs/>
                <w:color w:val="000000" w:themeColor="text1"/>
                <w:spacing w:val="-6"/>
                <w:sz w:val="24"/>
                <w:szCs w:val="24"/>
              </w:rPr>
            </w:pPr>
            <w:r w:rsidRPr="00817FD1">
              <w:rPr>
                <w:rFonts w:hAnsi="宋体" w:cs="宋体" w:hint="eastAsia"/>
                <w:bCs/>
                <w:color w:val="000000" w:themeColor="text1"/>
                <w:spacing w:val="-6"/>
                <w:sz w:val="24"/>
                <w:szCs w:val="24"/>
              </w:rPr>
              <w:t>（2）供应商具备基础电信业务经营许可证的得1.5分，具备增值电信业务经营许可证的得1.5分，</w:t>
            </w:r>
            <w:r w:rsidR="0006645A" w:rsidRPr="00817FD1">
              <w:rPr>
                <w:rFonts w:hAnsi="宋体" w:cs="宋体" w:hint="eastAsia"/>
                <w:bCs/>
                <w:color w:val="000000" w:themeColor="text1"/>
                <w:spacing w:val="-6"/>
                <w:sz w:val="24"/>
                <w:szCs w:val="24"/>
              </w:rPr>
              <w:t>需</w:t>
            </w:r>
            <w:r w:rsidRPr="00817FD1">
              <w:rPr>
                <w:rFonts w:hAnsi="宋体" w:cs="宋体" w:hint="eastAsia"/>
                <w:bCs/>
                <w:color w:val="000000" w:themeColor="text1"/>
                <w:spacing w:val="-6"/>
                <w:sz w:val="24"/>
                <w:szCs w:val="24"/>
              </w:rPr>
              <w:t>在响应文件中提供证书复印件并加盖公章，满分3分。</w:t>
            </w:r>
          </w:p>
          <w:p w14:paraId="2CB886DF" w14:textId="37D3C253" w:rsidR="0082371F" w:rsidRPr="00817FD1" w:rsidRDefault="008B587E" w:rsidP="00434EBD">
            <w:pPr>
              <w:pStyle w:val="a6"/>
              <w:rPr>
                <w:rFonts w:hAnsi="宋体" w:cs="宋体"/>
                <w:bCs/>
                <w:spacing w:val="-6"/>
                <w:szCs w:val="21"/>
              </w:rPr>
            </w:pPr>
            <w:r w:rsidRPr="00817FD1">
              <w:rPr>
                <w:rFonts w:hAnsi="宋体" w:cs="宋体" w:hint="eastAsia"/>
                <w:bCs/>
                <w:color w:val="000000" w:themeColor="text1"/>
                <w:spacing w:val="-6"/>
                <w:sz w:val="24"/>
                <w:szCs w:val="24"/>
              </w:rPr>
              <w:t>（3）供应商获得ISO/IEC20000信息技术服务管理体系认证的得3分，获得ISO/IEC27001信息安全管理体系认证的得3分，</w:t>
            </w:r>
            <w:r w:rsidR="0006645A" w:rsidRPr="00817FD1">
              <w:rPr>
                <w:rFonts w:hAnsi="宋体" w:cs="宋体" w:hint="eastAsia"/>
                <w:bCs/>
                <w:color w:val="000000" w:themeColor="text1"/>
                <w:spacing w:val="-6"/>
                <w:sz w:val="24"/>
                <w:szCs w:val="24"/>
              </w:rPr>
              <w:t>需</w:t>
            </w:r>
            <w:r w:rsidRPr="00817FD1">
              <w:rPr>
                <w:rFonts w:hAnsi="宋体" w:cs="宋体" w:hint="eastAsia"/>
                <w:bCs/>
                <w:color w:val="000000" w:themeColor="text1"/>
                <w:spacing w:val="-6"/>
                <w:sz w:val="24"/>
                <w:szCs w:val="24"/>
              </w:rPr>
              <w:t>在响应文件中提供证书复印件并加盖公章，满分6分。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E1AE8D0" w14:textId="77777777" w:rsidR="0082371F" w:rsidRPr="00817FD1" w:rsidRDefault="0082371F" w:rsidP="00434E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623833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Cs w:val="21"/>
              </w:rPr>
              <w:t>12</w:t>
            </w:r>
          </w:p>
        </w:tc>
      </w:tr>
      <w:tr w:rsidR="0082371F" w:rsidRPr="00817FD1" w14:paraId="2B4BDB5D" w14:textId="77777777">
        <w:trPr>
          <w:trHeight w:val="533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2A4EB0" w14:textId="77777777" w:rsidR="0082371F" w:rsidRPr="00817FD1" w:rsidRDefault="008B587E" w:rsidP="00434EB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Cs w:val="21"/>
              </w:rPr>
              <w:t>三</w:t>
            </w:r>
          </w:p>
        </w:tc>
        <w:tc>
          <w:tcPr>
            <w:tcW w:w="8268" w:type="dxa"/>
            <w:gridSpan w:val="4"/>
            <w:tcBorders>
              <w:right w:val="single" w:sz="12" w:space="0" w:color="auto"/>
            </w:tcBorders>
            <w:vAlign w:val="center"/>
          </w:tcPr>
          <w:p w14:paraId="6C198D3A" w14:textId="77777777" w:rsidR="0082371F" w:rsidRPr="00817FD1" w:rsidRDefault="008B587E" w:rsidP="00434EBD">
            <w:pPr>
              <w:widowControl/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 w:val="30"/>
                <w:szCs w:val="30"/>
              </w:rPr>
              <w:t>价格部分</w:t>
            </w:r>
          </w:p>
        </w:tc>
      </w:tr>
      <w:tr w:rsidR="0082371F" w:rsidRPr="00817FD1" w14:paraId="4AE43A12" w14:textId="77777777">
        <w:trPr>
          <w:trHeight w:val="861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14:paraId="182B4AD7" w14:textId="77777777" w:rsidR="0082371F" w:rsidRPr="00817FD1" w:rsidRDefault="008B587E" w:rsidP="00434EBD">
            <w:pPr>
              <w:jc w:val="center"/>
              <w:rPr>
                <w:rFonts w:ascii="宋体" w:hAnsi="宋体"/>
                <w:szCs w:val="21"/>
              </w:rPr>
            </w:pPr>
            <w:r w:rsidRPr="00817FD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08" w:type="dxa"/>
            <w:vAlign w:val="center"/>
          </w:tcPr>
          <w:p w14:paraId="4FE2DB98" w14:textId="55D1BB91" w:rsidR="0082371F" w:rsidRPr="00817FD1" w:rsidRDefault="006A2EF2" w:rsidP="00434E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7FD1">
              <w:rPr>
                <w:rFonts w:hint="eastAsia"/>
                <w:b/>
                <w:sz w:val="24"/>
                <w:szCs w:val="24"/>
              </w:rPr>
              <w:t>报价得分</w:t>
            </w:r>
          </w:p>
        </w:tc>
        <w:tc>
          <w:tcPr>
            <w:tcW w:w="5400" w:type="dxa"/>
            <w:vAlign w:val="center"/>
          </w:tcPr>
          <w:p w14:paraId="4D0F269E" w14:textId="783A3FFE" w:rsidR="0082371F" w:rsidRPr="00817FD1" w:rsidRDefault="008B587E" w:rsidP="00434EB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7FD1">
              <w:rPr>
                <w:rFonts w:ascii="宋体" w:hAnsi="宋体" w:cs="宋体"/>
                <w:kern w:val="0"/>
                <w:sz w:val="24"/>
                <w:szCs w:val="24"/>
              </w:rPr>
              <w:t>价格分</w:t>
            </w:r>
            <w:r w:rsidRPr="00817FD1">
              <w:rPr>
                <w:rFonts w:ascii="宋体" w:hAnsi="宋体" w:cs="宋体" w:hint="eastAsia"/>
                <w:kern w:val="0"/>
                <w:sz w:val="24"/>
                <w:szCs w:val="24"/>
              </w:rPr>
              <w:t>应当采用低价优先法计算，即满足</w:t>
            </w:r>
            <w:r w:rsidR="00593ADB" w:rsidRPr="00817FD1">
              <w:rPr>
                <w:rFonts w:ascii="宋体" w:hAnsi="宋体" w:cs="宋体" w:hint="eastAsia"/>
                <w:kern w:val="0"/>
                <w:sz w:val="24"/>
                <w:szCs w:val="24"/>
              </w:rPr>
              <w:t>医院参数</w:t>
            </w:r>
            <w:r w:rsidRPr="00817FD1">
              <w:rPr>
                <w:rFonts w:ascii="宋体" w:hAnsi="宋体" w:cs="宋体" w:hint="eastAsia"/>
                <w:kern w:val="0"/>
                <w:sz w:val="24"/>
                <w:szCs w:val="24"/>
              </w:rPr>
              <w:t>要求且</w:t>
            </w:r>
            <w:r w:rsidR="00593ADB" w:rsidRPr="00817FD1">
              <w:rPr>
                <w:rFonts w:ascii="宋体" w:hAnsi="宋体" w:cs="宋体" w:hint="eastAsia"/>
                <w:kern w:val="0"/>
                <w:sz w:val="24"/>
                <w:szCs w:val="24"/>
              </w:rPr>
              <w:t>响应价格最低的最终</w:t>
            </w:r>
            <w:r w:rsidRPr="00817FD1">
              <w:rPr>
                <w:rFonts w:ascii="宋体" w:hAnsi="宋体" w:cs="宋体" w:hint="eastAsia"/>
                <w:kern w:val="0"/>
                <w:sz w:val="24"/>
                <w:szCs w:val="24"/>
              </w:rPr>
              <w:t>报价为评标基准价，其价格分为满分。其他</w:t>
            </w:r>
            <w:r w:rsidR="003C4D4D" w:rsidRPr="00817FD1">
              <w:rPr>
                <w:rFonts w:ascii="宋体" w:hAnsi="宋体" w:cs="宋体" w:hint="eastAsia"/>
                <w:kern w:val="0"/>
                <w:sz w:val="24"/>
                <w:szCs w:val="24"/>
              </w:rPr>
              <w:t>供应商</w:t>
            </w:r>
            <w:r w:rsidRPr="00817FD1">
              <w:rPr>
                <w:rFonts w:ascii="宋体" w:hAnsi="宋体" w:cs="宋体" w:hint="eastAsia"/>
                <w:kern w:val="0"/>
                <w:sz w:val="24"/>
                <w:szCs w:val="24"/>
              </w:rPr>
              <w:t>的价格分统一按照下列公式计算：</w:t>
            </w:r>
          </w:p>
          <w:p w14:paraId="5949516A" w14:textId="1C9783D9" w:rsidR="0082371F" w:rsidRPr="00817FD1" w:rsidRDefault="008B587E" w:rsidP="00434EBD">
            <w:pPr>
              <w:widowControl/>
              <w:adjustRightInd w:val="0"/>
              <w:snapToGrid w:val="0"/>
              <w:ind w:firstLineChars="150" w:firstLine="361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17FD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报价得分=(基准价／</w:t>
            </w:r>
            <w:r w:rsidR="006A2EF2" w:rsidRPr="00817FD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某一供应商最终</w:t>
            </w:r>
            <w:r w:rsidRPr="00817FD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报价)×100×价格权重。</w:t>
            </w:r>
          </w:p>
          <w:p w14:paraId="6CC53D6D" w14:textId="77777777" w:rsidR="0082371F" w:rsidRPr="00817FD1" w:rsidRDefault="008B587E" w:rsidP="00434EB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817FD1">
              <w:rPr>
                <w:rFonts w:ascii="宋体" w:hAnsi="宋体" w:hint="eastAsia"/>
                <w:bCs/>
                <w:sz w:val="24"/>
                <w:szCs w:val="24"/>
              </w:rPr>
              <w:t>备注：</w:t>
            </w:r>
          </w:p>
          <w:p w14:paraId="54469399" w14:textId="19D0C052" w:rsidR="0082371F" w:rsidRPr="00817FD1" w:rsidRDefault="002053B2" w:rsidP="002053B2">
            <w:pPr>
              <w:widowControl/>
              <w:adjustRightInd w:val="0"/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 w:rsidRPr="00817FD1">
              <w:rPr>
                <w:rFonts w:ascii="宋体" w:hAnsi="宋体"/>
                <w:bCs/>
                <w:sz w:val="24"/>
                <w:szCs w:val="24"/>
              </w:rPr>
              <w:lastRenderedPageBreak/>
              <w:t>1</w:t>
            </w:r>
            <w:r w:rsidR="008B587E" w:rsidRPr="00817FD1">
              <w:rPr>
                <w:rFonts w:ascii="宋体" w:hAnsi="宋体" w:hint="eastAsia"/>
                <w:bCs/>
                <w:sz w:val="24"/>
                <w:szCs w:val="24"/>
              </w:rPr>
              <w:t>、报价得分四舍五入后，</w:t>
            </w:r>
            <w:r w:rsidR="008B587E" w:rsidRPr="00817FD1">
              <w:rPr>
                <w:rFonts w:ascii="Arial" w:hAnsi="Arial" w:cs="Arial" w:hint="eastAsia"/>
                <w:sz w:val="24"/>
                <w:szCs w:val="24"/>
              </w:rPr>
              <w:t>小数点后保留两位有效数</w:t>
            </w:r>
            <w:r w:rsidR="008B587E" w:rsidRPr="00817FD1"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</w:p>
          <w:p w14:paraId="3299486C" w14:textId="2F5CF7E0" w:rsidR="0082371F" w:rsidRPr="00817FD1" w:rsidRDefault="008B587E" w:rsidP="002053B2">
            <w:pPr>
              <w:adjustRightInd w:val="0"/>
              <w:snapToGrid w:val="0"/>
              <w:rPr>
                <w:rFonts w:ascii="宋体" w:hAnsi="宋体"/>
                <w:bCs/>
              </w:rPr>
            </w:pPr>
            <w:r w:rsidRPr="00817FD1">
              <w:rPr>
                <w:rFonts w:ascii="宋体" w:hAnsi="宋体" w:hint="eastAsia"/>
                <w:bCs/>
                <w:sz w:val="24"/>
                <w:szCs w:val="24"/>
              </w:rPr>
              <w:t>3、报价以</w:t>
            </w:r>
            <w:r w:rsidR="002053B2" w:rsidRPr="00817FD1">
              <w:rPr>
                <w:rFonts w:ascii="宋体" w:hAnsi="宋体" w:hint="eastAsia"/>
                <w:bCs/>
                <w:sz w:val="24"/>
                <w:szCs w:val="24"/>
              </w:rPr>
              <w:t>最终响应</w:t>
            </w:r>
            <w:r w:rsidRPr="00817FD1">
              <w:rPr>
                <w:rFonts w:ascii="宋体" w:hAnsi="宋体" w:hint="eastAsia"/>
                <w:bCs/>
                <w:sz w:val="24"/>
                <w:szCs w:val="24"/>
              </w:rPr>
              <w:t>价格评分的计算。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7C2A08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/>
                <w:szCs w:val="21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543BB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szCs w:val="21"/>
              </w:rPr>
            </w:pPr>
            <w:r w:rsidRPr="00817FD1">
              <w:rPr>
                <w:rFonts w:ascii="宋体" w:hAnsi="宋体" w:cs="宋体" w:hint="eastAsia"/>
                <w:szCs w:val="21"/>
              </w:rPr>
              <w:t>10分</w:t>
            </w:r>
          </w:p>
        </w:tc>
      </w:tr>
      <w:tr w:rsidR="0082371F" w:rsidRPr="00817FD1" w14:paraId="0613B496" w14:textId="77777777">
        <w:trPr>
          <w:trHeight w:val="453"/>
        </w:trPr>
        <w:tc>
          <w:tcPr>
            <w:tcW w:w="738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9495EA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b/>
                <w:szCs w:val="21"/>
              </w:rPr>
            </w:pPr>
            <w:r w:rsidRPr="00817FD1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47EF86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b/>
                <w:szCs w:val="21"/>
              </w:rPr>
            </w:pPr>
            <w:r w:rsidRPr="00817FD1">
              <w:rPr>
                <w:rFonts w:ascii="宋体" w:hAnsi="宋体" w:cs="宋体" w:hint="eastAsia"/>
                <w:b/>
                <w:szCs w:val="21"/>
              </w:rPr>
              <w:t>100%</w:t>
            </w:r>
            <w:r w:rsidRPr="00817FD1">
              <w:rPr>
                <w:rFonts w:ascii="宋体" w:hAnsi="宋体" w:cs="宋体"/>
                <w:b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C664" w14:textId="77777777" w:rsidR="0082371F" w:rsidRPr="00817FD1" w:rsidRDefault="008B587E" w:rsidP="00434EBD">
            <w:pPr>
              <w:ind w:leftChars="-37" w:left="-78" w:rightChars="-35" w:right="-73"/>
              <w:jc w:val="center"/>
              <w:rPr>
                <w:rFonts w:ascii="宋体" w:hAnsi="宋体" w:cs="宋体"/>
                <w:b/>
                <w:szCs w:val="21"/>
              </w:rPr>
            </w:pPr>
            <w:r w:rsidRPr="00817FD1">
              <w:rPr>
                <w:rFonts w:ascii="宋体" w:hAnsi="宋体" w:cs="宋体" w:hint="eastAsia"/>
                <w:b/>
                <w:szCs w:val="21"/>
              </w:rPr>
              <w:t>100分</w:t>
            </w:r>
          </w:p>
        </w:tc>
      </w:tr>
    </w:tbl>
    <w:p w14:paraId="3D039231" w14:textId="1050B7A4" w:rsidR="0082371F" w:rsidRPr="00817FD1" w:rsidRDefault="008C4D20" w:rsidP="00434EBD">
      <w:pPr>
        <w:rPr>
          <w:b/>
          <w:sz w:val="32"/>
          <w:szCs w:val="32"/>
        </w:rPr>
      </w:pPr>
      <w:r>
        <w:rPr>
          <w:rFonts w:ascii="宋体" w:hAnsi="宋体" w:hint="eastAsia"/>
          <w:sz w:val="24"/>
        </w:rPr>
        <w:t>▲</w:t>
      </w:r>
      <w:r w:rsidR="008B587E" w:rsidRPr="00817FD1">
        <w:rPr>
          <w:rFonts w:ascii="宋体" w:hAnsi="宋体" w:hint="eastAsia"/>
          <w:b/>
          <w:bCs/>
          <w:sz w:val="24"/>
          <w:szCs w:val="24"/>
        </w:rPr>
        <w:t>供应商进行院内比选响应时，应当根据上述评分细则按要求提供相关证明材料，未按要求提供相关证明材料的，报价及响应无效。</w:t>
      </w:r>
    </w:p>
    <w:p w14:paraId="4D00D177" w14:textId="5790A6AB" w:rsidR="002D6B84" w:rsidRDefault="002D6B84" w:rsidP="002D6B84">
      <w:pPr>
        <w:pStyle w:val="a0"/>
      </w:pPr>
    </w:p>
    <w:p w14:paraId="6356DC90" w14:textId="77777777" w:rsidR="0030795A" w:rsidRPr="00817FD1" w:rsidRDefault="0030795A" w:rsidP="002D6B84">
      <w:pPr>
        <w:pStyle w:val="a0"/>
        <w:rPr>
          <w:rFonts w:hint="eastAsia"/>
        </w:rPr>
      </w:pPr>
    </w:p>
    <w:p w14:paraId="3854280D" w14:textId="155097F2" w:rsidR="002D6B84" w:rsidRPr="00817FD1" w:rsidRDefault="002D6B84" w:rsidP="002D6B84">
      <w:pPr>
        <w:widowControl/>
        <w:spacing w:line="360" w:lineRule="exact"/>
        <w:jc w:val="left"/>
        <w:rPr>
          <w:rFonts w:ascii="宋体" w:hAnsi="宋体"/>
          <w:b/>
          <w:bCs/>
          <w:sz w:val="24"/>
          <w:szCs w:val="24"/>
        </w:rPr>
      </w:pPr>
      <w:r w:rsidRPr="00817FD1">
        <w:rPr>
          <w:rFonts w:ascii="宋体" w:hAnsi="宋体" w:hint="eastAsia"/>
          <w:b/>
          <w:bCs/>
          <w:sz w:val="24"/>
          <w:szCs w:val="24"/>
        </w:rPr>
        <w:t>附：</w:t>
      </w:r>
      <w:r w:rsidRPr="00817FD1">
        <w:rPr>
          <w:rFonts w:ascii="宋体" w:hAnsi="宋体" w:hint="eastAsia"/>
          <w:b/>
          <w:bCs/>
          <w:sz w:val="24"/>
          <w:szCs w:val="24"/>
        </w:rPr>
        <w:t>基本售后服务要求：</w:t>
      </w:r>
    </w:p>
    <w:p w14:paraId="0F9149DA" w14:textId="77777777" w:rsidR="002D6B84" w:rsidRPr="00817FD1" w:rsidRDefault="002D6B84" w:rsidP="002D6B84">
      <w:pPr>
        <w:widowControl/>
        <w:spacing w:line="360" w:lineRule="exact"/>
        <w:jc w:val="left"/>
        <w:rPr>
          <w:rFonts w:ascii="宋体" w:hAnsi="宋体"/>
          <w:bCs/>
          <w:sz w:val="24"/>
          <w:szCs w:val="24"/>
        </w:rPr>
      </w:pPr>
      <w:r w:rsidRPr="00817FD1">
        <w:rPr>
          <w:rFonts w:ascii="宋体" w:hAnsi="宋体" w:hint="eastAsia"/>
          <w:bCs/>
          <w:sz w:val="24"/>
          <w:szCs w:val="24"/>
        </w:rPr>
        <w:t>1</w:t>
      </w:r>
      <w:r w:rsidRPr="00817FD1">
        <w:rPr>
          <w:rFonts w:ascii="宋体" w:hAnsi="宋体"/>
          <w:bCs/>
          <w:sz w:val="24"/>
          <w:szCs w:val="24"/>
        </w:rPr>
        <w:t>.</w:t>
      </w:r>
      <w:r w:rsidRPr="00817FD1">
        <w:rPr>
          <w:rFonts w:ascii="宋体" w:hAnsi="宋体" w:hint="eastAsia"/>
          <w:bCs/>
          <w:sz w:val="24"/>
          <w:szCs w:val="24"/>
        </w:rPr>
        <w:t>在服务期内，供应商应严格遵守《中华人民共和国电信条例》，维护双方权益，按工信部颁布的《电信服务标准》的电路质量要求，保证医院方租用系统畅通及安全使用，保证医院方网络的连续稳定运行；</w:t>
      </w:r>
    </w:p>
    <w:p w14:paraId="53CADC7A" w14:textId="77777777" w:rsidR="002D6B84" w:rsidRPr="00817FD1" w:rsidRDefault="002D6B84" w:rsidP="002D6B84">
      <w:pPr>
        <w:widowControl/>
        <w:spacing w:line="360" w:lineRule="exact"/>
        <w:jc w:val="left"/>
        <w:rPr>
          <w:rFonts w:ascii="宋体" w:hAnsi="宋体"/>
          <w:bCs/>
          <w:sz w:val="24"/>
          <w:szCs w:val="24"/>
        </w:rPr>
      </w:pPr>
      <w:r w:rsidRPr="00817FD1">
        <w:rPr>
          <w:rFonts w:ascii="宋体" w:hAnsi="宋体"/>
          <w:bCs/>
          <w:sz w:val="24"/>
          <w:szCs w:val="24"/>
        </w:rPr>
        <w:t>2</w:t>
      </w:r>
      <w:r w:rsidRPr="00817FD1">
        <w:rPr>
          <w:rFonts w:ascii="宋体" w:hAnsi="宋体" w:hint="eastAsia"/>
          <w:bCs/>
          <w:sz w:val="24"/>
          <w:szCs w:val="24"/>
        </w:rPr>
        <w:t>.提供7天×24小时资深技术人员在线咨询及远程协助服务（包含电话、邮件、远程桌面支持）；</w:t>
      </w:r>
    </w:p>
    <w:p w14:paraId="28791B93" w14:textId="77777777" w:rsidR="002D6B84" w:rsidRPr="00817FD1" w:rsidRDefault="002D6B84" w:rsidP="002D6B84">
      <w:pPr>
        <w:widowControl/>
        <w:spacing w:line="360" w:lineRule="exact"/>
        <w:jc w:val="left"/>
        <w:rPr>
          <w:rFonts w:ascii="宋体" w:hAnsi="宋体"/>
          <w:bCs/>
          <w:sz w:val="24"/>
          <w:szCs w:val="24"/>
        </w:rPr>
      </w:pPr>
      <w:r w:rsidRPr="00817FD1">
        <w:rPr>
          <w:rFonts w:ascii="宋体" w:hAnsi="宋体"/>
          <w:bCs/>
          <w:sz w:val="24"/>
          <w:szCs w:val="24"/>
        </w:rPr>
        <w:t>3</w:t>
      </w:r>
      <w:r w:rsidRPr="00817FD1">
        <w:rPr>
          <w:rFonts w:ascii="宋体" w:hAnsi="宋体" w:hint="eastAsia"/>
          <w:bCs/>
          <w:sz w:val="24"/>
          <w:szCs w:val="24"/>
        </w:rPr>
        <w:t>.供应商在接到医院方故障通知之时起</w:t>
      </w:r>
      <w:r w:rsidRPr="00817FD1">
        <w:rPr>
          <w:rFonts w:ascii="宋体" w:hAnsi="宋体"/>
          <w:bCs/>
          <w:sz w:val="24"/>
          <w:szCs w:val="24"/>
        </w:rPr>
        <w:t>30</w:t>
      </w:r>
      <w:r w:rsidRPr="00817FD1">
        <w:rPr>
          <w:rFonts w:ascii="宋体" w:hAnsi="宋体" w:hint="eastAsia"/>
          <w:bCs/>
          <w:sz w:val="24"/>
          <w:szCs w:val="24"/>
        </w:rPr>
        <w:t>分钟内响应，如有需要2小时内到达现场处理故障，8小时内恢复正常使用；</w:t>
      </w:r>
    </w:p>
    <w:p w14:paraId="4923956B" w14:textId="77777777" w:rsidR="002D6B84" w:rsidRPr="00817FD1" w:rsidRDefault="002D6B84" w:rsidP="002D6B84">
      <w:pPr>
        <w:widowControl/>
        <w:spacing w:line="360" w:lineRule="exact"/>
        <w:jc w:val="left"/>
        <w:rPr>
          <w:rFonts w:ascii="宋体" w:hAnsi="宋体"/>
          <w:bCs/>
          <w:sz w:val="24"/>
          <w:szCs w:val="24"/>
        </w:rPr>
      </w:pPr>
      <w:r w:rsidRPr="00817FD1">
        <w:rPr>
          <w:rFonts w:ascii="宋体" w:hAnsi="宋体"/>
          <w:bCs/>
          <w:sz w:val="24"/>
          <w:szCs w:val="24"/>
        </w:rPr>
        <w:t>4</w:t>
      </w:r>
      <w:r w:rsidRPr="00817FD1">
        <w:rPr>
          <w:rFonts w:ascii="宋体" w:hAnsi="宋体" w:hint="eastAsia"/>
          <w:bCs/>
          <w:sz w:val="24"/>
          <w:szCs w:val="24"/>
        </w:rPr>
        <w:t>.因供应商施工、网络割接等原因影响宽带网络运行的，应当提前一天通知医院方，并且尽快消除故障、恢复通信线路；</w:t>
      </w:r>
    </w:p>
    <w:p w14:paraId="7527FA7E" w14:textId="69D62747" w:rsidR="002D6B84" w:rsidRPr="00817FD1" w:rsidRDefault="002D6B84" w:rsidP="002D6B84">
      <w:pPr>
        <w:widowControl/>
        <w:spacing w:line="360" w:lineRule="exact"/>
        <w:jc w:val="left"/>
        <w:rPr>
          <w:rFonts w:ascii="宋体" w:hAnsi="宋体"/>
          <w:bCs/>
          <w:sz w:val="24"/>
          <w:szCs w:val="24"/>
        </w:rPr>
      </w:pPr>
      <w:r w:rsidRPr="00817FD1">
        <w:rPr>
          <w:rFonts w:ascii="宋体" w:hAnsi="宋体"/>
          <w:bCs/>
          <w:sz w:val="24"/>
          <w:szCs w:val="24"/>
        </w:rPr>
        <w:t>5</w:t>
      </w:r>
      <w:r w:rsidRPr="00817FD1">
        <w:rPr>
          <w:rFonts w:ascii="宋体" w:hAnsi="宋体" w:hint="eastAsia"/>
          <w:bCs/>
          <w:sz w:val="24"/>
          <w:szCs w:val="24"/>
        </w:rPr>
        <w:t>.当医院方网络需要扩展或升级时，负责免费提供相应解决方案</w:t>
      </w:r>
      <w:r w:rsidR="002F0EE2">
        <w:rPr>
          <w:rFonts w:ascii="宋体" w:hAnsi="宋体" w:hint="eastAsia"/>
          <w:bCs/>
          <w:sz w:val="24"/>
          <w:szCs w:val="24"/>
        </w:rPr>
        <w:t>；</w:t>
      </w:r>
      <w:bookmarkStart w:id="0" w:name="_GoBack"/>
      <w:bookmarkEnd w:id="0"/>
    </w:p>
    <w:p w14:paraId="0381C04F" w14:textId="19C19EB3" w:rsidR="002D6B84" w:rsidRPr="002D6B84" w:rsidRDefault="002D6B84" w:rsidP="002D6B84">
      <w:pPr>
        <w:pStyle w:val="a0"/>
        <w:rPr>
          <w:rFonts w:ascii="宋体" w:hAnsi="宋体" w:hint="eastAsia"/>
          <w:bCs/>
          <w:sz w:val="24"/>
          <w:szCs w:val="24"/>
        </w:rPr>
      </w:pPr>
      <w:r w:rsidRPr="00817FD1">
        <w:rPr>
          <w:rFonts w:ascii="宋体" w:hAnsi="宋体" w:hint="eastAsia"/>
          <w:bCs/>
          <w:sz w:val="24"/>
          <w:szCs w:val="24"/>
        </w:rPr>
        <w:t>6</w:t>
      </w:r>
      <w:r w:rsidRPr="00817FD1">
        <w:rPr>
          <w:rFonts w:ascii="宋体" w:hAnsi="宋体"/>
          <w:bCs/>
          <w:sz w:val="24"/>
          <w:szCs w:val="24"/>
        </w:rPr>
        <w:t>.</w:t>
      </w:r>
      <w:r w:rsidRPr="00817FD1">
        <w:rPr>
          <w:rFonts w:ascii="宋体" w:hAnsi="宋体" w:hint="eastAsia"/>
          <w:bCs/>
          <w:sz w:val="24"/>
          <w:szCs w:val="24"/>
        </w:rPr>
        <w:t>质保期内所有其它伴随服务的费用均应包含在合同价中，医院方不再另行支付任何费用。</w:t>
      </w:r>
    </w:p>
    <w:sectPr w:rsidR="002D6B84" w:rsidRPr="002D6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351F" w14:textId="77777777" w:rsidR="00194206" w:rsidRDefault="00194206" w:rsidP="00434EBD">
      <w:r>
        <w:separator/>
      </w:r>
    </w:p>
  </w:endnote>
  <w:endnote w:type="continuationSeparator" w:id="0">
    <w:p w14:paraId="76962DBB" w14:textId="77777777" w:rsidR="00194206" w:rsidRDefault="00194206" w:rsidP="0043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Segoe U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DA795" w14:textId="77777777" w:rsidR="00194206" w:rsidRDefault="00194206" w:rsidP="00434EBD">
      <w:r>
        <w:separator/>
      </w:r>
    </w:p>
  </w:footnote>
  <w:footnote w:type="continuationSeparator" w:id="0">
    <w:p w14:paraId="66E01EB3" w14:textId="77777777" w:rsidR="00194206" w:rsidRDefault="00194206" w:rsidP="0043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D2A5A9"/>
    <w:multiLevelType w:val="multilevel"/>
    <w:tmpl w:val="F9D2A5A9"/>
    <w:lvl w:ilvl="0">
      <w:start w:val="1"/>
      <w:numFmt w:val="chineseCountingThousand"/>
      <w:pStyle w:val="1"/>
      <w:lvlText w:val="第%1章"/>
      <w:lvlJc w:val="center"/>
      <w:pPr>
        <w:tabs>
          <w:tab w:val="left" w:pos="144"/>
        </w:tabs>
        <w:ind w:left="144" w:hanging="144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left" w:pos="680"/>
        </w:tabs>
        <w:ind w:left="680" w:hanging="680"/>
      </w:pPr>
      <w:rPr>
        <w:rFonts w:ascii="黑体" w:eastAsia="黑体" w:hint="eastAsia"/>
        <w:b/>
        <w:i w:val="0"/>
        <w:sz w:val="32"/>
        <w:szCs w:val="32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left" w:pos="1146"/>
        </w:tabs>
        <w:ind w:left="1146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116"/>
        </w:tabs>
        <w:ind w:left="1116" w:hanging="1116"/>
      </w:pPr>
      <w:rPr>
        <w:rFonts w:ascii="黑体" w:eastAsia="黑体" w:hAnsi="Times New Roman" w:cs="Times New Roman" w:hint="eastAsia"/>
        <w:b/>
        <w:i w:val="0"/>
        <w:color w:val="auto"/>
        <w:sz w:val="28"/>
        <w:szCs w:val="28"/>
        <w:u w:val="none"/>
        <w:lang w:val="en-U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left" w:pos="720"/>
        </w:tabs>
        <w:ind w:left="72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pStyle w:val="6"/>
      <w:isLgl/>
      <w:lvlText w:val="%1.%2.%3.%4.%5.%6"/>
      <w:lvlJc w:val="left"/>
      <w:pPr>
        <w:tabs>
          <w:tab w:val="left" w:pos="864"/>
        </w:tabs>
        <w:ind w:left="864" w:hanging="86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left" w:pos="1008"/>
        </w:tabs>
        <w:ind w:left="1008" w:hanging="1008"/>
      </w:pPr>
      <w:rPr>
        <w:rFonts w:ascii="黑体" w:eastAsia="黑体" w:hint="eastAsia"/>
        <w:b/>
        <w:i w:val="0"/>
        <w:sz w:val="24"/>
        <w:szCs w:val="24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left" w:pos="1152"/>
        </w:tabs>
        <w:ind w:left="1152" w:hanging="1152"/>
      </w:pPr>
      <w:rPr>
        <w:rFonts w:ascii="黑体" w:eastAsia="黑体" w:hint="eastAsia"/>
        <w:b/>
        <w:i w:val="0"/>
        <w:sz w:val="24"/>
        <w:szCs w:val="24"/>
      </w:rPr>
    </w:lvl>
    <w:lvl w:ilvl="8">
      <w:start w:val="1"/>
      <w:numFmt w:val="decimal"/>
      <w:pStyle w:val="9"/>
      <w:isLgl/>
      <w:lvlText w:val="%1.%2.%3.%4.%5.%6.%7.%8.%9"/>
      <w:lvlJc w:val="left"/>
      <w:pPr>
        <w:tabs>
          <w:tab w:val="left" w:pos="1296"/>
        </w:tabs>
        <w:ind w:left="1296" w:hanging="1296"/>
      </w:pPr>
      <w:rPr>
        <w:rFonts w:eastAsia="黑体" w:hint="eastAsia"/>
        <w:b/>
        <w:i w:val="0"/>
        <w:sz w:val="24"/>
        <w:szCs w:val="24"/>
      </w:rPr>
    </w:lvl>
  </w:abstractNum>
  <w:abstractNum w:abstractNumId="1" w15:restartNumberingAfterBreak="0">
    <w:nsid w:val="74F7702C"/>
    <w:multiLevelType w:val="multilevel"/>
    <w:tmpl w:val="74F7702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1F"/>
    <w:rsid w:val="000414ED"/>
    <w:rsid w:val="0006645A"/>
    <w:rsid w:val="000D6481"/>
    <w:rsid w:val="00101FD1"/>
    <w:rsid w:val="00194206"/>
    <w:rsid w:val="002053B2"/>
    <w:rsid w:val="00254396"/>
    <w:rsid w:val="00287B49"/>
    <w:rsid w:val="002D6B84"/>
    <w:rsid w:val="002F0EE2"/>
    <w:rsid w:val="0030795A"/>
    <w:rsid w:val="003631F4"/>
    <w:rsid w:val="003C4D4D"/>
    <w:rsid w:val="003D3A68"/>
    <w:rsid w:val="003D573C"/>
    <w:rsid w:val="00434EBD"/>
    <w:rsid w:val="005569B7"/>
    <w:rsid w:val="00593ADB"/>
    <w:rsid w:val="00682707"/>
    <w:rsid w:val="006A2EF2"/>
    <w:rsid w:val="00736FCA"/>
    <w:rsid w:val="007740F3"/>
    <w:rsid w:val="00794F7E"/>
    <w:rsid w:val="007A192F"/>
    <w:rsid w:val="00817FD1"/>
    <w:rsid w:val="0082371F"/>
    <w:rsid w:val="008B587E"/>
    <w:rsid w:val="008C4D20"/>
    <w:rsid w:val="0090799C"/>
    <w:rsid w:val="00931504"/>
    <w:rsid w:val="00A40CEE"/>
    <w:rsid w:val="00AB2551"/>
    <w:rsid w:val="00B93164"/>
    <w:rsid w:val="00BF3048"/>
    <w:rsid w:val="00C36795"/>
    <w:rsid w:val="00CC7CB8"/>
    <w:rsid w:val="00CF789B"/>
    <w:rsid w:val="00DE3D57"/>
    <w:rsid w:val="00E62FC8"/>
    <w:rsid w:val="00E8494C"/>
    <w:rsid w:val="00EA448B"/>
    <w:rsid w:val="00EE1535"/>
    <w:rsid w:val="00F138F6"/>
    <w:rsid w:val="00FE6461"/>
    <w:rsid w:val="0A0C0DF7"/>
    <w:rsid w:val="0D1E410B"/>
    <w:rsid w:val="0D796FEF"/>
    <w:rsid w:val="10145D25"/>
    <w:rsid w:val="159E1B6A"/>
    <w:rsid w:val="2DB211E4"/>
    <w:rsid w:val="31961226"/>
    <w:rsid w:val="45F822AB"/>
    <w:rsid w:val="4F6F2BF9"/>
    <w:rsid w:val="51DF2700"/>
    <w:rsid w:val="68196C42"/>
    <w:rsid w:val="698B065C"/>
    <w:rsid w:val="69A31AC2"/>
    <w:rsid w:val="6C3F0F37"/>
    <w:rsid w:val="6C830809"/>
    <w:rsid w:val="750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273F7"/>
  <w15:docId w15:val="{5D40DAD7-12DE-418E-A31C-32E59005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360" w:lineRule="auto"/>
      <w:jc w:val="center"/>
      <w:outlineLvl w:val="0"/>
    </w:pPr>
    <w:rPr>
      <w:rFonts w:ascii="宋体" w:eastAsia="黑体" w:hAnsi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cs="宋体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before="260" w:after="260"/>
      <w:outlineLvl w:val="2"/>
    </w:pPr>
    <w:rPr>
      <w:rFonts w:ascii="宋体" w:hAnsi="宋体" w:cs="宋体"/>
      <w:b/>
      <w:bCs/>
      <w:sz w:val="30"/>
      <w:szCs w:val="30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Plain Text"/>
    <w:basedOn w:val="a"/>
    <w:next w:val="4"/>
    <w:qFormat/>
    <w:rPr>
      <w:rFonts w:ascii="宋体" w:hAnsi="Courier New"/>
      <w:szCs w:val="20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标题 1 字符"/>
    <w:basedOn w:val="a1"/>
    <w:link w:val="1"/>
    <w:uiPriority w:val="9"/>
    <w:qFormat/>
    <w:rPr>
      <w:rFonts w:ascii="宋体" w:eastAsia="黑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qFormat/>
    <w:rPr>
      <w:rFonts w:ascii="Arial" w:eastAsia="宋体" w:hAnsi="Arial" w:cs="宋体"/>
      <w:b/>
      <w:bCs/>
      <w:sz w:val="32"/>
      <w:szCs w:val="32"/>
    </w:rPr>
  </w:style>
  <w:style w:type="character" w:customStyle="1" w:styleId="30">
    <w:name w:val="标题 3 字符"/>
    <w:basedOn w:val="a1"/>
    <w:link w:val="3"/>
    <w:qFormat/>
    <w:rPr>
      <w:rFonts w:ascii="宋体" w:eastAsia="宋体" w:hAnsi="宋体" w:cs="宋体"/>
      <w:b/>
      <w:bCs/>
      <w:sz w:val="30"/>
      <w:szCs w:val="30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rPr>
      <w:rFonts w:ascii="Times New Roman" w:eastAsia="宋体" w:hAnsi="Times New Roman" w:cs="Times New Roman"/>
    </w:rPr>
  </w:style>
  <w:style w:type="character" w:styleId="a9">
    <w:name w:val="annotation reference"/>
    <w:basedOn w:val="a1"/>
    <w:rsid w:val="00FE6461"/>
    <w:rPr>
      <w:sz w:val="21"/>
      <w:szCs w:val="21"/>
    </w:rPr>
  </w:style>
  <w:style w:type="paragraph" w:styleId="aa">
    <w:name w:val="annotation subject"/>
    <w:basedOn w:val="a4"/>
    <w:next w:val="a4"/>
    <w:link w:val="ab"/>
    <w:rsid w:val="00FE6461"/>
    <w:rPr>
      <w:b/>
      <w:bCs/>
    </w:rPr>
  </w:style>
  <w:style w:type="character" w:customStyle="1" w:styleId="a5">
    <w:name w:val="批注文字 字符"/>
    <w:basedOn w:val="a1"/>
    <w:link w:val="a4"/>
    <w:rsid w:val="00FE6461"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5"/>
    <w:link w:val="aa"/>
    <w:rsid w:val="00FE6461"/>
    <w:rPr>
      <w:rFonts w:ascii="Calibri" w:hAnsi="Calibri"/>
      <w:b/>
      <w:bCs/>
      <w:kern w:val="2"/>
      <w:sz w:val="21"/>
      <w:szCs w:val="22"/>
    </w:rPr>
  </w:style>
  <w:style w:type="paragraph" w:styleId="ac">
    <w:name w:val="Balloon Text"/>
    <w:basedOn w:val="a"/>
    <w:link w:val="ad"/>
    <w:rsid w:val="00FE6461"/>
    <w:rPr>
      <w:sz w:val="18"/>
      <w:szCs w:val="18"/>
    </w:rPr>
  </w:style>
  <w:style w:type="character" w:customStyle="1" w:styleId="ad">
    <w:name w:val="批注框文本 字符"/>
    <w:basedOn w:val="a1"/>
    <w:link w:val="ac"/>
    <w:rsid w:val="00FE6461"/>
    <w:rPr>
      <w:rFonts w:ascii="Calibri" w:hAnsi="Calibri"/>
      <w:kern w:val="2"/>
      <w:sz w:val="18"/>
      <w:szCs w:val="18"/>
    </w:rPr>
  </w:style>
  <w:style w:type="paragraph" w:styleId="ae">
    <w:name w:val="Body Text Indent"/>
    <w:basedOn w:val="a"/>
    <w:link w:val="af"/>
    <w:uiPriority w:val="99"/>
    <w:unhideWhenUsed/>
    <w:rsid w:val="002D6B84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f">
    <w:name w:val="正文文本缩进 字符"/>
    <w:basedOn w:val="a1"/>
    <w:link w:val="ae"/>
    <w:uiPriority w:val="99"/>
    <w:rsid w:val="002D6B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795D5-8515-4C00-A06C-0355682D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39</cp:revision>
  <dcterms:created xsi:type="dcterms:W3CDTF">2014-10-29T12:08:00Z</dcterms:created>
  <dcterms:modified xsi:type="dcterms:W3CDTF">2021-05-10T09:57:00Z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