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firstLine="570"/>
        <w:jc w:val="center"/>
        <w:rPr>
          <w:rFonts w:hint="eastAsia" w:ascii="仿宋" w:hAnsi="仿宋" w:eastAsia="仿宋" w:cs="仿宋"/>
          <w:b/>
          <w:bCs/>
          <w:kern w:val="2"/>
          <w:sz w:val="28"/>
          <w:szCs w:val="28"/>
          <w:lang w:val="en-US" w:eastAsia="zh-CN" w:bidi="ar"/>
        </w:rPr>
      </w:pPr>
      <w:r>
        <w:rPr>
          <w:rFonts w:hint="eastAsia" w:ascii="仿宋" w:hAnsi="仿宋" w:eastAsia="仿宋" w:cs="仿宋"/>
          <w:b/>
          <w:bCs/>
          <w:kern w:val="2"/>
          <w:sz w:val="28"/>
          <w:szCs w:val="28"/>
          <w:lang w:val="en-US" w:eastAsia="zh-CN" w:bidi="ar"/>
        </w:rPr>
        <w:t>普通外科情况简介</w:t>
      </w:r>
    </w:p>
    <w:p>
      <w:pPr>
        <w:keepNext w:val="0"/>
        <w:keepLines w:val="0"/>
        <w:widowControl w:val="0"/>
        <w:suppressLineNumbers w:val="0"/>
        <w:spacing w:before="0" w:beforeAutospacing="0" w:after="0" w:afterAutospacing="0"/>
        <w:ind w:left="0" w:right="0" w:firstLine="57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广西壮族自治区人民医院普通外科（肝胆胰脾外科、胃肠·疝·肠瘘外科、结直肠肛门外科、乳腺甲状腺外科）是广西医疗卫生重点学科，是中国医师协会腹腔镜外科医师培训基地及广西微创手术中心的骨干科室，外科基地是国家重点住院医师规范化培训基地。科室拥有国际肝胆胰协会中国分会快速康复外科委员会肝胆外科快速康复外科标准病房、中国肝癌门静脉癌栓联盟理事单位、亚太门静脉高压联盟理事单位、中华结直肠癌MDT联盟副主席单位、</w:t>
      </w:r>
      <w:r>
        <w:rPr>
          <w:rFonts w:hint="eastAsia" w:ascii="仿宋" w:hAnsi="仿宋" w:eastAsia="仿宋" w:cs="仿宋"/>
          <w:kern w:val="2"/>
          <w:sz w:val="28"/>
          <w:szCs w:val="28"/>
          <w:lang w:val="en-US" w:eastAsia="zh-CN" w:bidi="ar"/>
        </w:rPr>
        <w:t>广西消化疾病临床研究中心</w:t>
      </w:r>
      <w:r>
        <w:rPr>
          <w:rFonts w:hint="eastAsia" w:ascii="仿宋" w:hAnsi="仿宋" w:eastAsia="仿宋" w:cs="仿宋"/>
          <w:kern w:val="2"/>
          <w:sz w:val="28"/>
          <w:szCs w:val="28"/>
          <w:lang w:val="en-US" w:eastAsia="zh-CN" w:bidi="ar"/>
        </w:rPr>
        <w:t>等平台资源，在普通外科疾病的诊治方面经验丰富、实力雄厚，一直致力于疾病的规范化、个体化、多学科综合诊治及微创、快速康复外科的技术应用。</w:t>
      </w:r>
    </w:p>
    <w:p>
      <w:pPr>
        <w:keepNext w:val="0"/>
        <w:keepLines w:val="0"/>
        <w:widowControl w:val="0"/>
        <w:suppressLineNumbers w:val="0"/>
        <w:spacing w:before="0" w:beforeAutospacing="0" w:after="0" w:afterAutospacing="0"/>
        <w:ind w:left="0" w:right="0" w:firstLine="57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 xml:space="preserve"> 科室带教师资力量雄厚，骨干成员中博士12人，硕士23人，正高职称12人，副高职称12人。医院党委书记杨建荣教授是我科学科带头人，曾至法国雷恩大学研修，在肝胆胰脾、乳腺甲状腺外科疾病诊治方面具有丰富经验。科室还有</w:t>
      </w:r>
      <w:bookmarkStart w:id="0" w:name="_GoBack"/>
      <w:bookmarkEnd w:id="0"/>
      <w:r>
        <w:rPr>
          <w:rFonts w:hint="eastAsia" w:ascii="仿宋" w:hAnsi="仿宋" w:eastAsia="仿宋" w:cs="仿宋"/>
          <w:kern w:val="2"/>
          <w:sz w:val="28"/>
          <w:szCs w:val="28"/>
          <w:lang w:val="en-US" w:eastAsia="zh-CN" w:bidi="ar"/>
        </w:rPr>
        <w:t>广西首批终身教授黄顺荣二级教授及肝胆胰脾外科刘天奇主任、胃肠·疝·肠瘘外科麦威主任、结直肠肛门外科庞黎明主任、乳腺甲状腺外科邹全庆主任等一批经验丰富的专家。</w:t>
      </w:r>
    </w:p>
    <w:p>
      <w:pPr>
        <w:keepNext w:val="0"/>
        <w:keepLines w:val="0"/>
        <w:widowControl w:val="0"/>
        <w:suppressLineNumbers w:val="0"/>
        <w:spacing w:before="0" w:beforeAutospacing="0" w:after="0" w:afterAutospacing="0"/>
        <w:ind w:left="0" w:right="0" w:firstLine="570"/>
        <w:jc w:val="both"/>
        <w:rPr>
          <w:rFonts w:hint="eastAsia" w:ascii="仿宋" w:hAnsi="仿宋" w:eastAsia="仿宋" w:cs="仿宋"/>
          <w:b w:val="0"/>
          <w:bCs w:val="0"/>
          <w:i w:val="0"/>
          <w:iCs w:val="0"/>
          <w:color w:val="000000" w:themeColor="text1"/>
          <w:kern w:val="24"/>
          <w:sz w:val="28"/>
          <w:szCs w:val="28"/>
          <w:lang w:val="en-US" w:eastAsia="zh-CN"/>
          <w14:textFill>
            <w14:solidFill>
              <w14:schemeClr w14:val="tx1"/>
            </w14:solidFill>
          </w14:textFill>
        </w:rPr>
      </w:pPr>
      <w:r>
        <w:rPr>
          <w:rFonts w:hint="eastAsia" w:ascii="仿宋" w:hAnsi="仿宋" w:eastAsia="仿宋" w:cs="仿宋"/>
          <w:kern w:val="2"/>
          <w:sz w:val="28"/>
          <w:szCs w:val="28"/>
          <w:lang w:val="en-US" w:eastAsia="zh-CN" w:bidi="ar"/>
        </w:rPr>
        <w:t>科室</w:t>
      </w:r>
      <w:r>
        <w:rPr>
          <w:rFonts w:hint="eastAsia" w:ascii="仿宋" w:hAnsi="仿宋" w:eastAsia="仿宋" w:cs="仿宋"/>
          <w:b w:val="0"/>
          <w:bCs w:val="0"/>
          <w:i w:val="0"/>
          <w:iCs w:val="0"/>
          <w:color w:val="000000" w:themeColor="text1"/>
          <w:kern w:val="24"/>
          <w:sz w:val="28"/>
          <w:szCs w:val="28"/>
          <w14:textFill>
            <w14:solidFill>
              <w14:schemeClr w14:val="tx1"/>
            </w14:solidFill>
          </w14:textFill>
        </w:rPr>
        <w:t>现有万元以上医疗设备100余台，设备总资产达6400余万元，包括达芬奇手术机器人、3D腹腔镜、高清腹腔镜、电子腹腔镜</w:t>
      </w:r>
      <w:r>
        <w:rPr>
          <w:rFonts w:hint="eastAsia" w:ascii="仿宋" w:hAnsi="仿宋" w:eastAsia="仿宋" w:cs="仿宋"/>
          <w:b w:val="0"/>
          <w:bCs w:val="0"/>
          <w:i w:val="0"/>
          <w:iCs w:val="0"/>
          <w:color w:val="000000" w:themeColor="text1"/>
          <w:kern w:val="24"/>
          <w:sz w:val="28"/>
          <w:szCs w:val="28"/>
          <w:lang w:val="en-US" w:eastAsia="zh-CN"/>
          <w14:textFill>
            <w14:solidFill>
              <w14:schemeClr w14:val="tx1"/>
            </w14:solidFill>
          </w14:textFill>
        </w:rPr>
        <w:t>等先进医疗设备，每年机器人微创手术及腹腔镜手术总数超过1500例，腹腔镜手术量及手术率居区内领先位置。</w:t>
      </w:r>
    </w:p>
    <w:p>
      <w:pPr>
        <w:keepNext w:val="0"/>
        <w:keepLines w:val="0"/>
        <w:widowControl w:val="0"/>
        <w:suppressLineNumbers w:val="0"/>
        <w:spacing w:before="0" w:beforeAutospacing="0" w:after="0" w:afterAutospacing="0"/>
        <w:ind w:left="0" w:right="0" w:firstLine="570"/>
        <w:jc w:val="both"/>
        <w:rPr>
          <w:rFonts w:hint="eastAsia" w:ascii="仿宋" w:hAnsi="仿宋" w:eastAsia="仿宋" w:cs="仿宋"/>
          <w:b w:val="0"/>
          <w:bCs w:val="0"/>
          <w:i w:val="0"/>
          <w:iCs w:val="0"/>
          <w:color w:val="000000" w:themeColor="text1"/>
          <w:kern w:val="24"/>
          <w:sz w:val="28"/>
          <w:szCs w:val="28"/>
          <w:lang w:val="en-US" w:eastAsia="zh-CN"/>
          <w14:textFill>
            <w14:solidFill>
              <w14:schemeClr w14:val="tx1"/>
            </w14:solidFill>
          </w14:textFill>
        </w:rPr>
      </w:pPr>
      <w:r>
        <w:rPr>
          <w:rFonts w:hint="eastAsia" w:ascii="仿宋" w:hAnsi="仿宋" w:eastAsia="仿宋" w:cs="仿宋"/>
          <w:b w:val="0"/>
          <w:bCs w:val="0"/>
          <w:i w:val="0"/>
          <w:iCs w:val="0"/>
          <w:color w:val="000000" w:themeColor="text1"/>
          <w:kern w:val="24"/>
          <w:sz w:val="28"/>
          <w:szCs w:val="28"/>
          <w:lang w:val="en-US" w:eastAsia="zh-CN"/>
          <w14:textFill>
            <w14:solidFill>
              <w14:schemeClr w14:val="tx1"/>
            </w14:solidFill>
          </w14:textFill>
        </w:rPr>
        <w:t>科室目前开展的特色医疗技术有达芬奇机器人及腹腔镜微创手术（机器人胰十二指肠切除术、腹腔镜胰十二指肠切除术、腹腔镜复杂肝癌切除术、腹腔镜胃肠癌根治术、腔镜甲状腺乳腺手术等）、肝胆外科快速康复外科技术、肠瘘及危重患者救治技术、多学科协作健康管理技术及腹腔镜改良低位直肠肿瘤切除保肛技术等一系列临床技术。</w:t>
      </w:r>
    </w:p>
    <w:p>
      <w:pPr>
        <w:keepNext w:val="0"/>
        <w:keepLines w:val="0"/>
        <w:widowControl w:val="0"/>
        <w:suppressLineNumbers w:val="0"/>
        <w:spacing w:before="0" w:beforeAutospacing="0" w:after="0" w:afterAutospacing="0"/>
        <w:ind w:left="0" w:right="0" w:firstLine="570"/>
        <w:jc w:val="both"/>
        <w:rPr>
          <w:rFonts w:hint="default" w:ascii="仿宋" w:hAnsi="仿宋" w:eastAsia="仿宋" w:cs="仿宋"/>
          <w:b w:val="0"/>
          <w:bCs w:val="0"/>
          <w:i w:val="0"/>
          <w:iCs w:val="0"/>
          <w:color w:val="000000" w:themeColor="text1"/>
          <w:kern w:val="24"/>
          <w:sz w:val="28"/>
          <w:szCs w:val="28"/>
          <w:lang w:val="en-US" w:eastAsia="zh-CN"/>
          <w14:textFill>
            <w14:solidFill>
              <w14:schemeClr w14:val="tx1"/>
            </w14:solidFill>
          </w14:textFill>
        </w:rPr>
      </w:pPr>
      <w:r>
        <w:rPr>
          <w:rFonts w:hint="eastAsia" w:ascii="仿宋" w:hAnsi="仿宋" w:eastAsia="仿宋" w:cs="仿宋"/>
          <w:b w:val="0"/>
          <w:bCs w:val="0"/>
          <w:i w:val="0"/>
          <w:iCs w:val="0"/>
          <w:color w:val="000000" w:themeColor="text1"/>
          <w:kern w:val="24"/>
          <w:sz w:val="28"/>
          <w:szCs w:val="28"/>
          <w:lang w:val="en-US" w:eastAsia="zh-CN"/>
          <w14:textFill>
            <w14:solidFill>
              <w14:schemeClr w14:val="tx1"/>
            </w14:solidFill>
          </w14:textFill>
        </w:rPr>
        <w:t>我们一直致力于推动广西普通外科事业的发展，欢迎各位同道来我院普通外科进修学习！</w:t>
      </w:r>
    </w:p>
    <w:p>
      <w:pPr>
        <w:keepNext w:val="0"/>
        <w:keepLines w:val="0"/>
        <w:widowControl w:val="0"/>
        <w:suppressLineNumbers w:val="0"/>
        <w:spacing w:before="0" w:beforeAutospacing="0" w:after="0" w:afterAutospacing="0"/>
        <w:ind w:left="0" w:right="0" w:firstLine="570"/>
        <w:jc w:val="both"/>
        <w:rPr>
          <w:rFonts w:hint="default" w:ascii="仿宋" w:hAnsi="仿宋" w:eastAsia="仿宋" w:cs="仿宋"/>
          <w:b w:val="0"/>
          <w:bCs w:val="0"/>
          <w:i w:val="0"/>
          <w:iCs w:val="0"/>
          <w:color w:val="000000" w:themeColor="text1"/>
          <w:kern w:val="24"/>
          <w:sz w:val="28"/>
          <w:szCs w:val="28"/>
          <w:lang w:val="en-US" w:eastAsia="zh-CN"/>
          <w14:textFill>
            <w14:solidFill>
              <w14:schemeClr w14:val="tx1"/>
            </w14:solidFill>
          </w14:textFill>
        </w:rPr>
      </w:pPr>
    </w:p>
    <w:p>
      <w:pPr>
        <w:rPr>
          <w:rFonts w:hint="eastAsia" w:ascii="仿宋" w:hAnsi="仿宋" w:eastAsia="仿宋" w:cs="仿宋"/>
          <w:b w:val="0"/>
          <w:bCs w:val="0"/>
          <w:color w:val="000000" w:themeColor="text1"/>
          <w:sz w:val="28"/>
          <w:szCs w:val="28"/>
          <w:lang w:val="en-US" w:eastAsia="zh-CN"/>
          <w14:textFill>
            <w14:solidFill>
              <w14:schemeClr w14:val="tx1"/>
            </w14:solidFill>
          </w14:textFill>
        </w:rPr>
      </w:pPr>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variable"/>
    <w:sig w:usb0="E00006FF" w:usb1="420024FF" w:usb2="02000000" w:usb3="00000000" w:csb0="2000019F" w:csb1="00000000"/>
  </w:font>
  <w:font w:name="@仿宋_GB2312">
    <w:panose1 w:val="02010609030101010101"/>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仿宋">
    <w:panose1 w:val="02010609060101010101"/>
    <w:charset w:val="86"/>
    <w:family w:val="auto"/>
    <w:pitch w:val="fixed"/>
    <w:sig w:usb0="800002BF" w:usb1="38CF7CFA" w:usb2="00000016" w:usb3="00000000" w:csb0="00040001" w:csb1="00000000"/>
  </w:font>
  <w:font w:name="仿宋">
    <w:panose1 w:val="02010609060101010101"/>
    <w:charset w:val="86"/>
    <w:family w:val="auto"/>
    <w:pitch w:val="fixed"/>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E47CC"/>
    <w:rsid w:val="0DC02F90"/>
    <w:rsid w:val="293D2BC6"/>
    <w:rsid w:val="70E01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2021-07-29T13:28:46Z</dcterms:created>
  <dc:creator>admin</dc:creator>
  <cp:lastModifiedBy>admin</cp:lastModifiedBy>
  <dcterms:modified xsi:type="dcterms:W3CDTF">2021-07-29T14:28:06Z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29348AF7BC3C45D091617B15E2A67992</vt:lpwstr>
  </property>
</Properties>
</file>