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val="en-US" w:eastAsia="zh-CN"/>
        </w:rPr>
        <w:t>广西壮族自治区人民医院关于</w:t>
      </w:r>
      <w:r>
        <w:rPr>
          <w:rFonts w:hint="default" w:ascii="Times New Roman" w:hAnsi="Times New Roman" w:eastAsia="方正小标宋_GBK" w:cs="Times New Roman"/>
          <w:sz w:val="36"/>
          <w:szCs w:val="36"/>
          <w:lang w:val="en-US" w:eastAsia="zh-CN"/>
        </w:rPr>
        <w:t>201</w:t>
      </w:r>
      <w:r>
        <w:rPr>
          <w:rFonts w:hint="eastAsia" w:eastAsia="方正小标宋_GBK" w:cs="Times New Roman"/>
          <w:sz w:val="36"/>
          <w:szCs w:val="36"/>
          <w:lang w:val="en-US" w:eastAsia="zh-CN"/>
        </w:rPr>
        <w:t>9</w:t>
      </w:r>
      <w:r>
        <w:rPr>
          <w:rFonts w:hint="eastAsia" w:ascii="方正小标宋_GBK" w:hAnsi="方正小标宋_GBK" w:eastAsia="方正小标宋_GBK" w:cs="方正小标宋_GBK"/>
          <w:sz w:val="36"/>
          <w:szCs w:val="36"/>
          <w:lang w:val="en-US" w:eastAsia="zh-CN"/>
        </w:rPr>
        <w:t>年度</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36"/>
          <w:szCs w:val="36"/>
          <w:lang w:val="en-US" w:eastAsia="zh-CN"/>
        </w:rPr>
        <w:t>新技术新项目完成奖和</w:t>
      </w:r>
      <w:r>
        <w:rPr>
          <w:rFonts w:hint="eastAsia" w:ascii="方正小标宋_GBK" w:hAnsi="方正小标宋_GBK" w:eastAsia="方正小标宋_GBK" w:cs="方正小标宋_GBK"/>
          <w:sz w:val="36"/>
          <w:szCs w:val="36"/>
        </w:rPr>
        <w:t>科技拔尖人才</w:t>
      </w:r>
      <w:r>
        <w:rPr>
          <w:rFonts w:hint="eastAsia" w:ascii="方正小标宋_GBK" w:hAnsi="方正小标宋_GBK" w:eastAsia="方正小标宋_GBK" w:cs="方正小标宋_GBK"/>
          <w:sz w:val="36"/>
          <w:szCs w:val="36"/>
          <w:lang w:val="en-US" w:eastAsia="zh-CN"/>
        </w:rPr>
        <w:t>的公示</w:t>
      </w:r>
    </w:p>
    <w:p>
      <w:pPr>
        <w:keepNext w:val="0"/>
        <w:keepLines w:val="0"/>
        <w:pageBreakBefore w:val="0"/>
        <w:widowControl w:val="0"/>
        <w:kinsoku/>
        <w:wordWrap/>
        <w:overflowPunct/>
        <w:topLinePunct w:val="0"/>
        <w:autoSpaceDE/>
        <w:autoSpaceDN/>
        <w:bidi w:val="0"/>
        <w:adjustRightInd/>
        <w:snapToGrid/>
        <w:spacing w:after="140" w:line="40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100" w:after="140" w:line="40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4"/>
          <w:szCs w:val="24"/>
          <w:lang w:val="en-US" w:eastAsia="zh-CN"/>
        </w:rPr>
        <w:t xml:space="preserve"> </w:t>
      </w:r>
      <w:r>
        <w:rPr>
          <w:rFonts w:hint="eastAsia" w:ascii="Times New Roman" w:hAnsi="Times New Roman" w:eastAsia="仿宋_GB2312" w:cs="Times New Roman"/>
          <w:sz w:val="28"/>
          <w:szCs w:val="28"/>
          <w:lang w:val="en-US" w:eastAsia="zh-CN"/>
        </w:rPr>
        <w:t>201</w:t>
      </w:r>
      <w:r>
        <w:rPr>
          <w:rFonts w:hint="eastAsia" w:eastAsia="仿宋_GB2312" w:cs="Times New Roman"/>
          <w:sz w:val="28"/>
          <w:szCs w:val="28"/>
          <w:lang w:val="en-US" w:eastAsia="zh-CN"/>
        </w:rPr>
        <w:t>9</w:t>
      </w:r>
      <w:r>
        <w:rPr>
          <w:rFonts w:hint="eastAsia" w:ascii="仿宋_GB2312" w:hAnsi="仿宋_GB2312" w:eastAsia="仿宋_GB2312" w:cs="仿宋_GB2312"/>
          <w:sz w:val="28"/>
          <w:szCs w:val="28"/>
          <w:lang w:val="en-US" w:eastAsia="zh-CN"/>
        </w:rPr>
        <w:t>年度新技术新项目完成奖（临床技术类）</w:t>
      </w:r>
    </w:p>
    <w:tbl>
      <w:tblPr>
        <w:tblStyle w:val="3"/>
        <w:tblW w:w="87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7"/>
        <w:gridCol w:w="2416"/>
        <w:gridCol w:w="2281"/>
        <w:gridCol w:w="1622"/>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767"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序号</w:t>
            </w:r>
          </w:p>
        </w:tc>
        <w:tc>
          <w:tcPr>
            <w:tcW w:w="241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科室名称</w:t>
            </w:r>
          </w:p>
        </w:tc>
        <w:tc>
          <w:tcPr>
            <w:tcW w:w="2281"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项目名称</w:t>
            </w:r>
          </w:p>
        </w:tc>
        <w:tc>
          <w:tcPr>
            <w:tcW w:w="162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主要完成人</w:t>
            </w:r>
          </w:p>
        </w:tc>
        <w:tc>
          <w:tcPr>
            <w:tcW w:w="169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获奖等级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default" w:ascii="仿宋_GB2312" w:hAnsi="宋体" w:eastAsia="仿宋_GB2312" w:cs="仿宋_GB2312"/>
                <w:i w:val="0"/>
                <w:iCs w:val="0"/>
                <w:color w:val="000000"/>
                <w:kern w:val="0"/>
                <w:sz w:val="22"/>
                <w:szCs w:val="22"/>
                <w:u w:val="none"/>
                <w:lang w:val="en-US" w:eastAsia="zh-CN" w:bidi="ar"/>
              </w:rPr>
              <w:t>1</w:t>
            </w:r>
          </w:p>
        </w:tc>
        <w:tc>
          <w:tcPr>
            <w:tcW w:w="241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肾内科</w:t>
            </w:r>
          </w:p>
        </w:tc>
        <w:tc>
          <w:tcPr>
            <w:tcW w:w="228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特发性膜性肾病预后影响因素及阶段病变的特点</w:t>
            </w:r>
          </w:p>
        </w:tc>
        <w:tc>
          <w:tcPr>
            <w:tcW w:w="16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贺红光、叶琨、黄亿芸、熊礼佳、韦俏宇、刘园园、王浩宇</w:t>
            </w:r>
          </w:p>
        </w:tc>
        <w:tc>
          <w:tcPr>
            <w:tcW w:w="169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荣获二等奖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default" w:ascii="仿宋_GB2312" w:hAnsi="宋体" w:eastAsia="仿宋_GB2312" w:cs="仿宋_GB2312"/>
                <w:i w:val="0"/>
                <w:iCs w:val="0"/>
                <w:color w:val="000000"/>
                <w:kern w:val="0"/>
                <w:sz w:val="22"/>
                <w:szCs w:val="22"/>
                <w:u w:val="none"/>
                <w:lang w:val="en-US" w:eastAsia="zh-CN" w:bidi="ar"/>
              </w:rPr>
              <w:t>2</w:t>
            </w:r>
          </w:p>
        </w:tc>
        <w:tc>
          <w:tcPr>
            <w:tcW w:w="241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皮肤性病科</w:t>
            </w:r>
          </w:p>
        </w:tc>
        <w:tc>
          <w:tcPr>
            <w:tcW w:w="228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308nm准分子激光促进自体黑素细胞体外增殖的分子机制研究</w:t>
            </w:r>
          </w:p>
        </w:tc>
        <w:tc>
          <w:tcPr>
            <w:tcW w:w="16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李丽丽、梁艳萍、谢治、王琛、张东红、周晓明、潘南楠、徐文英、韦林芳、梁金凤</w:t>
            </w:r>
          </w:p>
        </w:tc>
        <w:tc>
          <w:tcPr>
            <w:tcW w:w="169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荣获二等奖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7"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default" w:ascii="仿宋_GB2312" w:hAnsi="宋体" w:eastAsia="仿宋_GB2312" w:cs="仿宋_GB2312"/>
                <w:i w:val="0"/>
                <w:iCs w:val="0"/>
                <w:color w:val="000000"/>
                <w:kern w:val="0"/>
                <w:sz w:val="22"/>
                <w:szCs w:val="22"/>
                <w:u w:val="none"/>
                <w:lang w:val="en-US" w:eastAsia="zh-CN" w:bidi="ar"/>
              </w:rPr>
              <w:t>3</w:t>
            </w:r>
          </w:p>
        </w:tc>
        <w:tc>
          <w:tcPr>
            <w:tcW w:w="241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口腔科</w:t>
            </w:r>
          </w:p>
        </w:tc>
        <w:tc>
          <w:tcPr>
            <w:tcW w:w="228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下颌定位前伸上气道及颞下颌关节变化的研究及临床应用</w:t>
            </w:r>
          </w:p>
        </w:tc>
        <w:tc>
          <w:tcPr>
            <w:tcW w:w="16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方志欣、周嫣、唐倩、马隆佰、韩武、白彬、龙智灵、黄敏方、张大灵、卢珍珍</w:t>
            </w:r>
          </w:p>
        </w:tc>
        <w:tc>
          <w:tcPr>
            <w:tcW w:w="169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荣获二等奖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trPr>
        <w:tc>
          <w:tcPr>
            <w:tcW w:w="767"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default" w:ascii="仿宋_GB2312" w:hAnsi="宋体" w:eastAsia="仿宋_GB2312" w:cs="仿宋_GB2312"/>
                <w:i w:val="0"/>
                <w:iCs w:val="0"/>
                <w:color w:val="000000"/>
                <w:kern w:val="0"/>
                <w:sz w:val="22"/>
                <w:szCs w:val="22"/>
                <w:u w:val="none"/>
                <w:lang w:val="en-US" w:eastAsia="zh-CN" w:bidi="ar"/>
              </w:rPr>
              <w:t>4</w:t>
            </w:r>
          </w:p>
        </w:tc>
        <w:tc>
          <w:tcPr>
            <w:tcW w:w="241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骨科</w:t>
            </w:r>
          </w:p>
        </w:tc>
        <w:tc>
          <w:tcPr>
            <w:tcW w:w="228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抗纤溶药物氨甲环酸在脊柱融合术中的临床应用研究</w:t>
            </w:r>
          </w:p>
        </w:tc>
        <w:tc>
          <w:tcPr>
            <w:tcW w:w="16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欧裕福、李荣祝、尹东、韦建勋、韦敏克、梁斌、丘德赞、黄孝英、陈峰、李柱海、穆小平</w:t>
            </w:r>
          </w:p>
        </w:tc>
        <w:tc>
          <w:tcPr>
            <w:tcW w:w="169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荣获二等奖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767"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default" w:ascii="仿宋_GB2312" w:hAnsi="宋体" w:eastAsia="仿宋_GB2312" w:cs="仿宋_GB2312"/>
                <w:i w:val="0"/>
                <w:iCs w:val="0"/>
                <w:color w:val="000000"/>
                <w:kern w:val="0"/>
                <w:sz w:val="22"/>
                <w:szCs w:val="22"/>
                <w:u w:val="none"/>
                <w:lang w:val="en-US" w:eastAsia="zh-CN" w:bidi="ar"/>
              </w:rPr>
              <w:t>5</w:t>
            </w:r>
          </w:p>
        </w:tc>
        <w:tc>
          <w:tcPr>
            <w:tcW w:w="241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眼科</w:t>
            </w:r>
          </w:p>
        </w:tc>
        <w:tc>
          <w:tcPr>
            <w:tcW w:w="228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3D-OCT检测神经节细胞复合体在原发性青光眼诊疗中的研究</w:t>
            </w:r>
          </w:p>
        </w:tc>
        <w:tc>
          <w:tcPr>
            <w:tcW w:w="16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曾思明、何文静、蓝倩倩、陆华文、陈丽妃、沈朝兰、钟珊</w:t>
            </w:r>
          </w:p>
        </w:tc>
        <w:tc>
          <w:tcPr>
            <w:tcW w:w="169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荣获二等奖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67"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default" w:ascii="仿宋_GB2312" w:hAnsi="宋体" w:eastAsia="仿宋_GB2312" w:cs="仿宋_GB2312"/>
                <w:i w:val="0"/>
                <w:iCs w:val="0"/>
                <w:color w:val="000000"/>
                <w:kern w:val="0"/>
                <w:sz w:val="22"/>
                <w:szCs w:val="22"/>
                <w:u w:val="none"/>
                <w:lang w:val="en-US" w:eastAsia="zh-CN" w:bidi="ar"/>
              </w:rPr>
              <w:t>6</w:t>
            </w:r>
          </w:p>
        </w:tc>
        <w:tc>
          <w:tcPr>
            <w:tcW w:w="241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妇科</w:t>
            </w:r>
          </w:p>
        </w:tc>
        <w:tc>
          <w:tcPr>
            <w:tcW w:w="228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全子宫切除术后盆底康复治疗对性功能影响的研究</w:t>
            </w:r>
          </w:p>
        </w:tc>
        <w:tc>
          <w:tcPr>
            <w:tcW w:w="16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赵仁峰、吴月莲、许莉莉、林海燕、黄晖媛、詹凤丽等</w:t>
            </w:r>
          </w:p>
        </w:tc>
        <w:tc>
          <w:tcPr>
            <w:tcW w:w="169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荣获二等奖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767"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default" w:ascii="仿宋_GB2312" w:hAnsi="宋体" w:eastAsia="仿宋_GB2312" w:cs="仿宋_GB2312"/>
                <w:i w:val="0"/>
                <w:iCs w:val="0"/>
                <w:color w:val="000000"/>
                <w:kern w:val="0"/>
                <w:sz w:val="22"/>
                <w:szCs w:val="22"/>
                <w:u w:val="none"/>
                <w:lang w:val="en-US" w:eastAsia="zh-CN" w:bidi="ar"/>
              </w:rPr>
              <w:t>7</w:t>
            </w:r>
          </w:p>
        </w:tc>
        <w:tc>
          <w:tcPr>
            <w:tcW w:w="241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CT室</w:t>
            </w:r>
          </w:p>
        </w:tc>
        <w:tc>
          <w:tcPr>
            <w:tcW w:w="228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3.0T定量MR动态增强及扩散张量成像在胶质瘤肿瘤血管生成的研究价值</w:t>
            </w:r>
          </w:p>
        </w:tc>
        <w:tc>
          <w:tcPr>
            <w:tcW w:w="16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毛一朴、马隆佰、余水莲、韩武、黄永塔、韦海明</w:t>
            </w:r>
          </w:p>
        </w:tc>
        <w:tc>
          <w:tcPr>
            <w:tcW w:w="169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荣获二等奖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767"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default" w:ascii="仿宋_GB2312" w:hAnsi="宋体" w:eastAsia="仿宋_GB2312" w:cs="仿宋_GB2312"/>
                <w:i w:val="0"/>
                <w:iCs w:val="0"/>
                <w:color w:val="000000"/>
                <w:kern w:val="0"/>
                <w:sz w:val="22"/>
                <w:szCs w:val="22"/>
                <w:u w:val="none"/>
                <w:lang w:val="en-US" w:eastAsia="zh-CN" w:bidi="ar"/>
              </w:rPr>
              <w:t>8</w:t>
            </w:r>
          </w:p>
        </w:tc>
        <w:tc>
          <w:tcPr>
            <w:tcW w:w="241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药学部</w:t>
            </w:r>
          </w:p>
        </w:tc>
        <w:tc>
          <w:tcPr>
            <w:tcW w:w="228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吉西他滨血药谷浓度与临床疗效及血液毒性相关性研究</w:t>
            </w:r>
          </w:p>
        </w:tc>
        <w:tc>
          <w:tcPr>
            <w:tcW w:w="16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席加喜、张华君、陈晓宇、陈英、冯国生、谢嫣嫣、蓝必全、叶冬梅、蒙明瑜</w:t>
            </w:r>
          </w:p>
        </w:tc>
        <w:tc>
          <w:tcPr>
            <w:tcW w:w="169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荣获二等奖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767"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default" w:ascii="仿宋_GB2312" w:hAnsi="宋体" w:eastAsia="仿宋_GB2312" w:cs="仿宋_GB2312"/>
                <w:i w:val="0"/>
                <w:iCs w:val="0"/>
                <w:color w:val="000000"/>
                <w:kern w:val="0"/>
                <w:sz w:val="22"/>
                <w:szCs w:val="22"/>
                <w:u w:val="none"/>
                <w:lang w:val="en-US" w:eastAsia="zh-CN" w:bidi="ar"/>
              </w:rPr>
              <w:t>9</w:t>
            </w:r>
          </w:p>
        </w:tc>
        <w:tc>
          <w:tcPr>
            <w:tcW w:w="241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产科</w:t>
            </w:r>
          </w:p>
        </w:tc>
        <w:tc>
          <w:tcPr>
            <w:tcW w:w="228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体位管理结合低频脉冲治疗及穴位按摩对产妇产程的影响</w:t>
            </w:r>
          </w:p>
        </w:tc>
        <w:tc>
          <w:tcPr>
            <w:tcW w:w="16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钟娜、梁旭霞、苏勇、唐玉红、方喻、来晓莉、胡秋文、王向阳、罗鸿宇、兰惠英、周至清</w:t>
            </w:r>
          </w:p>
        </w:tc>
        <w:tc>
          <w:tcPr>
            <w:tcW w:w="169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荣获三等奖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67"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default" w:ascii="仿宋_GB2312" w:hAnsi="宋体" w:eastAsia="仿宋_GB2312" w:cs="仿宋_GB2312"/>
                <w:i w:val="0"/>
                <w:iCs w:val="0"/>
                <w:color w:val="000000"/>
                <w:kern w:val="0"/>
                <w:sz w:val="22"/>
                <w:szCs w:val="22"/>
                <w:u w:val="none"/>
                <w:lang w:val="en-US" w:eastAsia="zh-CN" w:bidi="ar"/>
              </w:rPr>
              <w:t>10</w:t>
            </w:r>
          </w:p>
        </w:tc>
        <w:tc>
          <w:tcPr>
            <w:tcW w:w="241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重症医学科二病区</w:t>
            </w:r>
          </w:p>
        </w:tc>
        <w:tc>
          <w:tcPr>
            <w:tcW w:w="228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血浆置换联合双重血浆分子吸附在治疗妊娠期急性脂肪肝中的临床研究</w:t>
            </w:r>
          </w:p>
        </w:tc>
        <w:tc>
          <w:tcPr>
            <w:tcW w:w="16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黄鹏、黄寨、熊滨、秦文波、陆政、莫祖聪、唐小刚、黄红维、黎艳、钟小红</w:t>
            </w:r>
          </w:p>
        </w:tc>
        <w:tc>
          <w:tcPr>
            <w:tcW w:w="169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荣获三等奖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767"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default" w:ascii="仿宋_GB2312" w:hAnsi="宋体" w:eastAsia="仿宋_GB2312" w:cs="仿宋_GB2312"/>
                <w:i w:val="0"/>
                <w:iCs w:val="0"/>
                <w:color w:val="000000"/>
                <w:kern w:val="0"/>
                <w:sz w:val="22"/>
                <w:szCs w:val="22"/>
                <w:u w:val="none"/>
                <w:lang w:val="en-US" w:eastAsia="zh-CN" w:bidi="ar"/>
              </w:rPr>
              <w:t>11</w:t>
            </w:r>
          </w:p>
        </w:tc>
        <w:tc>
          <w:tcPr>
            <w:tcW w:w="241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临床肿瘤中心化疗一区</w:t>
            </w:r>
          </w:p>
        </w:tc>
        <w:tc>
          <w:tcPr>
            <w:tcW w:w="228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外周血循环肿瘤及其趋化因子受体CCR9与非小细胞肺癌的临床相关性研究</w:t>
            </w:r>
          </w:p>
        </w:tc>
        <w:tc>
          <w:tcPr>
            <w:tcW w:w="16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蒿艳蓉、吕艳茹、李柏钧、侯恩存、陆翔、袁贤彬、谢嫣嫣、兰海燕、徐志勇、陈嘉羽、陈泽南</w:t>
            </w:r>
          </w:p>
        </w:tc>
        <w:tc>
          <w:tcPr>
            <w:tcW w:w="169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荣获三等奖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767"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default" w:ascii="仿宋_GB2312" w:hAnsi="宋体" w:eastAsia="仿宋_GB2312" w:cs="仿宋_GB2312"/>
                <w:i w:val="0"/>
                <w:iCs w:val="0"/>
                <w:color w:val="000000"/>
                <w:kern w:val="0"/>
                <w:sz w:val="22"/>
                <w:szCs w:val="22"/>
                <w:u w:val="none"/>
                <w:lang w:val="en-US" w:eastAsia="zh-CN" w:bidi="ar"/>
              </w:rPr>
              <w:t>12</w:t>
            </w:r>
          </w:p>
        </w:tc>
        <w:tc>
          <w:tcPr>
            <w:tcW w:w="241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口腔科</w:t>
            </w:r>
          </w:p>
        </w:tc>
        <w:tc>
          <w:tcPr>
            <w:tcW w:w="228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MRC肌功能矫治器矫治儿童口腔不良习惯的临床研究</w:t>
            </w:r>
          </w:p>
        </w:tc>
        <w:tc>
          <w:tcPr>
            <w:tcW w:w="16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施春梅、欧晓丽、周嫣、何静静、罗菊芬、卢其芳</w:t>
            </w:r>
          </w:p>
        </w:tc>
        <w:tc>
          <w:tcPr>
            <w:tcW w:w="169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荣获三等奖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767"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default" w:ascii="仿宋_GB2312" w:hAnsi="宋体" w:eastAsia="仿宋_GB2312" w:cs="仿宋_GB2312"/>
                <w:i w:val="0"/>
                <w:iCs w:val="0"/>
                <w:color w:val="000000"/>
                <w:kern w:val="0"/>
                <w:sz w:val="22"/>
                <w:szCs w:val="22"/>
                <w:u w:val="none"/>
                <w:lang w:val="en-US" w:eastAsia="zh-CN" w:bidi="ar"/>
              </w:rPr>
              <w:t>13</w:t>
            </w:r>
          </w:p>
        </w:tc>
        <w:tc>
          <w:tcPr>
            <w:tcW w:w="241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检验科</w:t>
            </w:r>
          </w:p>
        </w:tc>
        <w:tc>
          <w:tcPr>
            <w:tcW w:w="228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急性白血病患者维生素D和维生素D结合蛋白联合检测的临床意义</w:t>
            </w:r>
          </w:p>
        </w:tc>
        <w:tc>
          <w:tcPr>
            <w:tcW w:w="16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姜烈君、罗焰芳、陈艳云、霍晓聪、陈松锋、张敏、钟秋莲、邓爽、陆晓旭</w:t>
            </w:r>
          </w:p>
        </w:tc>
        <w:tc>
          <w:tcPr>
            <w:tcW w:w="169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荣获四等奖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767"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default" w:ascii="仿宋_GB2312" w:hAnsi="宋体" w:eastAsia="仿宋_GB2312" w:cs="仿宋_GB2312"/>
                <w:i w:val="0"/>
                <w:iCs w:val="0"/>
                <w:color w:val="000000"/>
                <w:kern w:val="0"/>
                <w:sz w:val="22"/>
                <w:szCs w:val="22"/>
                <w:u w:val="none"/>
                <w:lang w:val="en-US" w:eastAsia="zh-CN" w:bidi="ar"/>
              </w:rPr>
              <w:t>14</w:t>
            </w:r>
          </w:p>
        </w:tc>
        <w:tc>
          <w:tcPr>
            <w:tcW w:w="241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泌尿外科</w:t>
            </w:r>
          </w:p>
        </w:tc>
        <w:tc>
          <w:tcPr>
            <w:tcW w:w="228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集束化干预策略对临床无意义残留结石预后的影响研究</w:t>
            </w:r>
          </w:p>
        </w:tc>
        <w:tc>
          <w:tcPr>
            <w:tcW w:w="16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李金蓉、蒙有轩、廖君娟、杨贞、杨纯、蓝志相、李伟、潘彦佐、毕嘉文、余呈翊</w:t>
            </w:r>
          </w:p>
        </w:tc>
        <w:tc>
          <w:tcPr>
            <w:tcW w:w="169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荣获四等奖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67"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default" w:ascii="仿宋_GB2312" w:hAnsi="宋体" w:eastAsia="仿宋_GB2312" w:cs="仿宋_GB2312"/>
                <w:i w:val="0"/>
                <w:iCs w:val="0"/>
                <w:color w:val="000000"/>
                <w:kern w:val="0"/>
                <w:sz w:val="22"/>
                <w:szCs w:val="22"/>
                <w:u w:val="none"/>
                <w:lang w:val="en-US" w:eastAsia="zh-CN" w:bidi="ar"/>
              </w:rPr>
              <w:t>15</w:t>
            </w:r>
          </w:p>
        </w:tc>
        <w:tc>
          <w:tcPr>
            <w:tcW w:w="241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心血管内科</w:t>
            </w:r>
          </w:p>
        </w:tc>
        <w:tc>
          <w:tcPr>
            <w:tcW w:w="228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经皮肺动静脉瘘封堵术</w:t>
            </w:r>
          </w:p>
        </w:tc>
        <w:tc>
          <w:tcPr>
            <w:tcW w:w="16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伍广伟、王孟杰、吴旭斌、许能文、潘复泽、宋秋韵</w:t>
            </w:r>
          </w:p>
        </w:tc>
        <w:tc>
          <w:tcPr>
            <w:tcW w:w="169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荣获四等奖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767"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default" w:ascii="仿宋_GB2312" w:hAnsi="宋体" w:eastAsia="仿宋_GB2312" w:cs="仿宋_GB2312"/>
                <w:i w:val="0"/>
                <w:iCs w:val="0"/>
                <w:color w:val="000000"/>
                <w:kern w:val="0"/>
                <w:sz w:val="22"/>
                <w:szCs w:val="22"/>
                <w:u w:val="none"/>
                <w:lang w:val="en-US" w:eastAsia="zh-CN" w:bidi="ar"/>
              </w:rPr>
              <w:t>16</w:t>
            </w:r>
          </w:p>
        </w:tc>
        <w:tc>
          <w:tcPr>
            <w:tcW w:w="241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产科</w:t>
            </w:r>
          </w:p>
        </w:tc>
        <w:tc>
          <w:tcPr>
            <w:tcW w:w="228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初产妇配偶接受照护角色体验对母婴支持的影响</w:t>
            </w:r>
          </w:p>
        </w:tc>
        <w:tc>
          <w:tcPr>
            <w:tcW w:w="16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朱光美、梁旭霞，钟娜，陈伟莉，张静，唐玉红，方喻，李静，张春，王向阳，吴昊旻，余利芬</w:t>
            </w:r>
          </w:p>
        </w:tc>
        <w:tc>
          <w:tcPr>
            <w:tcW w:w="169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荣获四等奖</w:t>
            </w:r>
          </w:p>
        </w:tc>
      </w:tr>
    </w:tbl>
    <w:p>
      <w:pPr>
        <w:keepNext w:val="0"/>
        <w:keepLines w:val="0"/>
        <w:pageBreakBefore w:val="0"/>
        <w:widowControl w:val="0"/>
        <w:kinsoku/>
        <w:wordWrap/>
        <w:overflowPunct/>
        <w:topLinePunct w:val="0"/>
        <w:autoSpaceDE/>
        <w:autoSpaceDN/>
        <w:bidi w:val="0"/>
        <w:adjustRightInd/>
        <w:snapToGrid/>
        <w:spacing w:before="100" w:after="140" w:line="400" w:lineRule="exact"/>
        <w:jc w:val="center"/>
        <w:textAlignment w:val="auto"/>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8"/>
          <w:szCs w:val="28"/>
          <w:lang w:val="en-US" w:eastAsia="zh-CN"/>
        </w:rPr>
        <w:t>表</w:t>
      </w:r>
      <w:r>
        <w:rPr>
          <w:rFonts w:hint="eastAsia" w:eastAsia="仿宋_GB2312" w:cs="Times New Roman"/>
          <w:sz w:val="28"/>
          <w:szCs w:val="28"/>
          <w:lang w:val="en-US" w:eastAsia="zh-CN"/>
        </w:rPr>
        <w:t>2</w:t>
      </w:r>
      <w:r>
        <w:rPr>
          <w:rFonts w:hint="eastAsia" w:ascii="仿宋_GB2312" w:hAnsi="仿宋_GB2312" w:eastAsia="仿宋_GB2312" w:cs="仿宋_GB2312"/>
          <w:sz w:val="24"/>
          <w:szCs w:val="24"/>
          <w:lang w:val="en-US" w:eastAsia="zh-CN"/>
        </w:rPr>
        <w:t xml:space="preserve"> </w:t>
      </w:r>
      <w:r>
        <w:rPr>
          <w:rFonts w:hint="eastAsia" w:ascii="Times New Roman" w:hAnsi="Times New Roman" w:eastAsia="仿宋_GB2312" w:cs="Times New Roman"/>
          <w:sz w:val="28"/>
          <w:szCs w:val="28"/>
          <w:lang w:val="en-US" w:eastAsia="zh-CN"/>
        </w:rPr>
        <w:t>201</w:t>
      </w:r>
      <w:r>
        <w:rPr>
          <w:rFonts w:hint="eastAsia" w:eastAsia="仿宋_GB2312" w:cs="Times New Roman"/>
          <w:sz w:val="28"/>
          <w:szCs w:val="28"/>
          <w:lang w:val="en-US" w:eastAsia="zh-CN"/>
        </w:rPr>
        <w:t>9</w:t>
      </w:r>
      <w:r>
        <w:rPr>
          <w:rFonts w:hint="eastAsia" w:ascii="仿宋_GB2312" w:hAnsi="仿宋_GB2312" w:eastAsia="仿宋_GB2312" w:cs="仿宋_GB2312"/>
          <w:sz w:val="28"/>
          <w:szCs w:val="28"/>
          <w:lang w:val="en-US" w:eastAsia="zh-CN"/>
        </w:rPr>
        <w:t>年度新技术新项目完成奖（基础研究类）</w:t>
      </w:r>
    </w:p>
    <w:tbl>
      <w:tblPr>
        <w:tblStyle w:val="3"/>
        <w:tblW w:w="87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1"/>
        <w:gridCol w:w="2432"/>
        <w:gridCol w:w="2277"/>
        <w:gridCol w:w="1651"/>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751"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序号</w:t>
            </w:r>
          </w:p>
        </w:tc>
        <w:tc>
          <w:tcPr>
            <w:tcW w:w="243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科室名称</w:t>
            </w:r>
          </w:p>
        </w:tc>
        <w:tc>
          <w:tcPr>
            <w:tcW w:w="2277"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项目名称</w:t>
            </w:r>
          </w:p>
        </w:tc>
        <w:tc>
          <w:tcPr>
            <w:tcW w:w="1651"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主要完成人</w:t>
            </w:r>
          </w:p>
        </w:tc>
        <w:tc>
          <w:tcPr>
            <w:tcW w:w="1667"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获奖等级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243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泌尿外科</w:t>
            </w:r>
          </w:p>
        </w:tc>
        <w:tc>
          <w:tcPr>
            <w:tcW w:w="227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CD44对前列腺癌葡萄糖代谢的调控作用及其分子机制的研究</w:t>
            </w:r>
          </w:p>
        </w:tc>
        <w:tc>
          <w:tcPr>
            <w:tcW w:w="165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李伟、梁建波、潜力、林俊浩、黄桂海、李锡明、陈志</w:t>
            </w:r>
          </w:p>
        </w:tc>
        <w:tc>
          <w:tcPr>
            <w:tcW w:w="1667"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荣获一等奖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2432"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胃肠外周血管外科</w:t>
            </w:r>
          </w:p>
        </w:tc>
        <w:tc>
          <w:tcPr>
            <w:tcW w:w="227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CDK2通过泛素蛋白酶体通路靶向调控抑癌基因CDX2对胃癌生物学作用及其机制研究</w:t>
            </w:r>
          </w:p>
        </w:tc>
        <w:tc>
          <w:tcPr>
            <w:tcW w:w="165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李雷、麦威、钟晓刚、唐振勇、王晓通、汪龙、谢东毅</w:t>
            </w:r>
          </w:p>
        </w:tc>
        <w:tc>
          <w:tcPr>
            <w:tcW w:w="1667"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荣获二等奖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w:t>
            </w:r>
          </w:p>
        </w:tc>
        <w:tc>
          <w:tcPr>
            <w:tcW w:w="2432"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检验科</w:t>
            </w:r>
          </w:p>
        </w:tc>
        <w:tc>
          <w:tcPr>
            <w:tcW w:w="227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TIM-1-TIM-4信号通路在支气管哮喘中的作用及其分子机制</w:t>
            </w:r>
          </w:p>
        </w:tc>
        <w:tc>
          <w:tcPr>
            <w:tcW w:w="165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陈治中、卿吉琳、吉庆伟、阳文辉、莫晓云、宁乐平、袁育林、李友琼、陆政德、覃桂芳</w:t>
            </w:r>
          </w:p>
        </w:tc>
        <w:tc>
          <w:tcPr>
            <w:tcW w:w="1667"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荣获二等奖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2432"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耳鼻咽喉头颈科</w:t>
            </w:r>
          </w:p>
        </w:tc>
        <w:tc>
          <w:tcPr>
            <w:tcW w:w="227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鼻变态反应炎症模型构建及其粘膜和NALT中Th17 细胞反应机制研究</w:t>
            </w:r>
          </w:p>
        </w:tc>
        <w:tc>
          <w:tcPr>
            <w:tcW w:w="165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瞿申红、李敏、张少杰、叶林松、唐凤珠、莫锦营、韦嘉章</w:t>
            </w:r>
          </w:p>
        </w:tc>
        <w:tc>
          <w:tcPr>
            <w:tcW w:w="1667"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荣获二等奖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w:t>
            </w:r>
          </w:p>
        </w:tc>
        <w:tc>
          <w:tcPr>
            <w:tcW w:w="2432"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骨科</w:t>
            </w:r>
          </w:p>
        </w:tc>
        <w:tc>
          <w:tcPr>
            <w:tcW w:w="227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山羊腰椎后路融合内固定术后对邻近节段椎间盘的生物力学影响研究</w:t>
            </w:r>
          </w:p>
        </w:tc>
        <w:tc>
          <w:tcPr>
            <w:tcW w:w="165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韦建勋、尹东、欧裕福、李柱海、梁斌、丘德赞、穆小平、石泽锋、韦敏克、陈峰</w:t>
            </w:r>
          </w:p>
        </w:tc>
        <w:tc>
          <w:tcPr>
            <w:tcW w:w="1667"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荣获二等奖</w:t>
            </w:r>
          </w:p>
        </w:tc>
      </w:tr>
    </w:tbl>
    <w:p>
      <w:pPr>
        <w:keepNext w:val="0"/>
        <w:keepLines w:val="0"/>
        <w:pageBreakBefore w:val="0"/>
        <w:widowControl w:val="0"/>
        <w:kinsoku/>
        <w:wordWrap/>
        <w:overflowPunct/>
        <w:topLinePunct w:val="0"/>
        <w:autoSpaceDE/>
        <w:autoSpaceDN/>
        <w:bidi w:val="0"/>
        <w:adjustRightInd/>
        <w:snapToGrid/>
        <w:spacing w:before="100" w:after="140" w:line="400" w:lineRule="exact"/>
        <w:jc w:val="center"/>
        <w:textAlignment w:val="auto"/>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8"/>
          <w:szCs w:val="28"/>
          <w:lang w:val="en-US" w:eastAsia="zh-CN"/>
        </w:rPr>
        <w:t>表</w:t>
      </w:r>
      <w:r>
        <w:rPr>
          <w:rFonts w:hint="eastAsia" w:eastAsia="仿宋_GB2312" w:cs="Times New Roman"/>
          <w:sz w:val="28"/>
          <w:szCs w:val="28"/>
          <w:lang w:val="en-US" w:eastAsia="zh-CN"/>
        </w:rPr>
        <w:t>3</w:t>
      </w:r>
      <w:r>
        <w:rPr>
          <w:rFonts w:hint="eastAsia" w:ascii="仿宋_GB2312" w:hAnsi="仿宋_GB2312" w:eastAsia="仿宋_GB2312" w:cs="仿宋_GB2312"/>
          <w:sz w:val="24"/>
          <w:szCs w:val="24"/>
          <w:lang w:val="en-US" w:eastAsia="zh-CN"/>
        </w:rPr>
        <w:t xml:space="preserve"> </w:t>
      </w:r>
      <w:r>
        <w:rPr>
          <w:rFonts w:hint="eastAsia" w:ascii="Times New Roman" w:hAnsi="Times New Roman" w:eastAsia="仿宋_GB2312" w:cs="Times New Roman"/>
          <w:sz w:val="28"/>
          <w:szCs w:val="28"/>
          <w:lang w:val="en-US" w:eastAsia="zh-CN"/>
        </w:rPr>
        <w:t>201</w:t>
      </w:r>
      <w:r>
        <w:rPr>
          <w:rFonts w:hint="eastAsia" w:eastAsia="仿宋_GB2312" w:cs="Times New Roman"/>
          <w:sz w:val="28"/>
          <w:szCs w:val="28"/>
          <w:lang w:val="en-US" w:eastAsia="zh-CN"/>
        </w:rPr>
        <w:t>9</w:t>
      </w:r>
      <w:r>
        <w:rPr>
          <w:rFonts w:hint="eastAsia" w:ascii="仿宋_GB2312" w:hAnsi="仿宋_GB2312" w:eastAsia="仿宋_GB2312" w:cs="仿宋_GB2312"/>
          <w:sz w:val="28"/>
          <w:szCs w:val="28"/>
          <w:lang w:val="en-US" w:eastAsia="zh-CN"/>
        </w:rPr>
        <w:t>年度新技术新项目完成奖（综合管理类）</w:t>
      </w:r>
    </w:p>
    <w:tbl>
      <w:tblPr>
        <w:tblStyle w:val="3"/>
        <w:tblW w:w="87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3"/>
        <w:gridCol w:w="2440"/>
        <w:gridCol w:w="2274"/>
        <w:gridCol w:w="1642"/>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74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序号</w:t>
            </w:r>
          </w:p>
        </w:tc>
        <w:tc>
          <w:tcPr>
            <w:tcW w:w="244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科室名称</w:t>
            </w:r>
          </w:p>
        </w:tc>
        <w:tc>
          <w:tcPr>
            <w:tcW w:w="227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项目名称</w:t>
            </w:r>
          </w:p>
        </w:tc>
        <w:tc>
          <w:tcPr>
            <w:tcW w:w="164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主要完成人</w:t>
            </w:r>
          </w:p>
        </w:tc>
        <w:tc>
          <w:tcPr>
            <w:tcW w:w="1679"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获奖等级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743"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24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医疗外联服务部、教学部</w:t>
            </w:r>
          </w:p>
        </w:tc>
        <w:tc>
          <w:tcPr>
            <w:tcW w:w="22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住院医师规范化培训保障措施和过程管理体系研究</w:t>
            </w:r>
          </w:p>
        </w:tc>
        <w:tc>
          <w:tcPr>
            <w:tcW w:w="164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李丽、尹东、王琳、杨红叶、蒿艳蓉、吴强、区家茵、梁红英、潘黎等</w:t>
            </w:r>
          </w:p>
        </w:tc>
        <w:tc>
          <w:tcPr>
            <w:tcW w:w="1679"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荣获四等奖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743"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24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药学部</w:t>
            </w:r>
          </w:p>
        </w:tc>
        <w:tc>
          <w:tcPr>
            <w:tcW w:w="22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药品精细化管理的应用研究</w:t>
            </w:r>
          </w:p>
        </w:tc>
        <w:tc>
          <w:tcPr>
            <w:tcW w:w="164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危华玲、李恒、韦秀芝、韦戈、李虎、罗淑萍、韦水林</w:t>
            </w:r>
          </w:p>
        </w:tc>
        <w:tc>
          <w:tcPr>
            <w:tcW w:w="1679"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荣获四等奖</w:t>
            </w:r>
          </w:p>
        </w:tc>
      </w:tr>
    </w:tbl>
    <w:p>
      <w:pPr>
        <w:keepNext w:val="0"/>
        <w:keepLines w:val="0"/>
        <w:pageBreakBefore w:val="0"/>
        <w:widowControl w:val="0"/>
        <w:kinsoku/>
        <w:wordWrap/>
        <w:overflowPunct/>
        <w:topLinePunct w:val="0"/>
        <w:autoSpaceDE/>
        <w:autoSpaceDN/>
        <w:bidi w:val="0"/>
        <w:adjustRightInd/>
        <w:snapToGrid/>
        <w:spacing w:after="140" w:line="400" w:lineRule="exact"/>
        <w:jc w:val="both"/>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140"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表</w:t>
      </w:r>
      <w:r>
        <w:rPr>
          <w:rFonts w:hint="default" w:ascii="Times New Roman" w:hAnsi="Times New Roman" w:eastAsia="仿宋_GB2312" w:cs="Times New Roman"/>
          <w:sz w:val="28"/>
          <w:szCs w:val="28"/>
          <w:lang w:val="en-US" w:eastAsia="zh-CN"/>
        </w:rPr>
        <w:t>4</w:t>
      </w:r>
      <w:r>
        <w:rPr>
          <w:rFonts w:hint="eastAsia" w:ascii="仿宋_GB2312" w:hAnsi="仿宋_GB2312" w:eastAsia="仿宋_GB2312" w:cs="仿宋_GB2312"/>
          <w:sz w:val="28"/>
          <w:szCs w:val="28"/>
          <w:lang w:val="en-US" w:eastAsia="zh-CN"/>
        </w:rPr>
        <w:t xml:space="preserve"> </w:t>
      </w:r>
      <w:r>
        <w:rPr>
          <w:rFonts w:hint="default" w:ascii="Times New Roman" w:hAnsi="Times New Roman" w:eastAsia="仿宋_GB2312" w:cs="Times New Roman"/>
          <w:sz w:val="28"/>
          <w:szCs w:val="28"/>
          <w:lang w:val="en-US" w:eastAsia="zh-CN"/>
        </w:rPr>
        <w:t>2019</w:t>
      </w:r>
      <w:r>
        <w:rPr>
          <w:rFonts w:hint="eastAsia" w:ascii="仿宋_GB2312" w:hAnsi="仿宋_GB2312" w:eastAsia="仿宋_GB2312" w:cs="仿宋_GB2312"/>
          <w:sz w:val="28"/>
          <w:szCs w:val="28"/>
        </w:rPr>
        <w:t>年度科技拔尖人才奖名单（</w:t>
      </w:r>
      <w:r>
        <w:rPr>
          <w:rFonts w:hint="default" w:ascii="Times New Roman" w:hAnsi="Times New Roman" w:eastAsia="仿宋_GB2312" w:cs="Times New Roman"/>
          <w:sz w:val="28"/>
          <w:szCs w:val="28"/>
        </w:rPr>
        <w:t>146</w:t>
      </w:r>
      <w:r>
        <w:rPr>
          <w:rFonts w:hint="eastAsia" w:ascii="仿宋_GB2312" w:hAnsi="仿宋_GB2312" w:eastAsia="仿宋_GB2312" w:cs="仿宋_GB2312"/>
          <w:sz w:val="28"/>
          <w:szCs w:val="28"/>
        </w:rPr>
        <w:t>人，</w:t>
      </w:r>
      <w:r>
        <w:rPr>
          <w:rFonts w:hint="default" w:ascii="Times New Roman" w:hAnsi="Times New Roman" w:eastAsia="仿宋_GB2312" w:cs="Times New Roman"/>
          <w:sz w:val="28"/>
          <w:szCs w:val="28"/>
        </w:rPr>
        <w:t>178</w:t>
      </w:r>
      <w:r>
        <w:rPr>
          <w:rFonts w:hint="eastAsia" w:ascii="仿宋_GB2312" w:hAnsi="仿宋_GB2312" w:eastAsia="仿宋_GB2312" w:cs="仿宋_GB2312"/>
          <w:sz w:val="28"/>
          <w:szCs w:val="28"/>
        </w:rPr>
        <w:t>人次）</w:t>
      </w:r>
    </w:p>
    <w:tbl>
      <w:tblPr>
        <w:tblStyle w:val="3"/>
        <w:tblW w:w="80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1"/>
        <w:gridCol w:w="1395"/>
        <w:gridCol w:w="1240"/>
        <w:gridCol w:w="1516"/>
        <w:gridCol w:w="1300"/>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42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尹东(3)</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李荣祝(3)</w:t>
            </w:r>
          </w:p>
        </w:tc>
        <w:tc>
          <w:tcPr>
            <w:tcW w:w="12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蒿艳蓉(3)</w:t>
            </w:r>
          </w:p>
        </w:tc>
        <w:tc>
          <w:tcPr>
            <w:tcW w:w="151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胡巧(3)</w:t>
            </w:r>
          </w:p>
        </w:tc>
        <w:tc>
          <w:tcPr>
            <w:tcW w:w="13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梁旭霞(3)</w:t>
            </w:r>
          </w:p>
        </w:tc>
        <w:tc>
          <w:tcPr>
            <w:tcW w:w="120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袁育林(3)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42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欧裕福(3)</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杨建荣(2)</w:t>
            </w:r>
          </w:p>
        </w:tc>
        <w:tc>
          <w:tcPr>
            <w:tcW w:w="12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叶琨(2)</w:t>
            </w:r>
          </w:p>
        </w:tc>
        <w:tc>
          <w:tcPr>
            <w:tcW w:w="151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瞿申红(2)</w:t>
            </w:r>
          </w:p>
        </w:tc>
        <w:tc>
          <w:tcPr>
            <w:tcW w:w="13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姜烈君(2)</w:t>
            </w:r>
          </w:p>
        </w:tc>
        <w:tc>
          <w:tcPr>
            <w:tcW w:w="120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李丽丽(2)</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(皮肤科)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42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周嫣(2)</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曹译丹(2)</w:t>
            </w:r>
          </w:p>
        </w:tc>
        <w:tc>
          <w:tcPr>
            <w:tcW w:w="12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董小锋(2)</w:t>
            </w:r>
          </w:p>
        </w:tc>
        <w:tc>
          <w:tcPr>
            <w:tcW w:w="151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贺红光(2)</w:t>
            </w:r>
          </w:p>
        </w:tc>
        <w:tc>
          <w:tcPr>
            <w:tcW w:w="13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黄国秀(2)</w:t>
            </w:r>
          </w:p>
        </w:tc>
        <w:tc>
          <w:tcPr>
            <w:tcW w:w="120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伍广伟(2)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42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刘天奇(2)</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麦威(2)</w:t>
            </w:r>
          </w:p>
        </w:tc>
        <w:tc>
          <w:tcPr>
            <w:tcW w:w="12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赵仁峰(2)</w:t>
            </w:r>
          </w:p>
        </w:tc>
        <w:tc>
          <w:tcPr>
            <w:tcW w:w="151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司勇锋(2)</w:t>
            </w:r>
          </w:p>
        </w:tc>
        <w:tc>
          <w:tcPr>
            <w:tcW w:w="13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韦建勋(2)</w:t>
            </w:r>
          </w:p>
        </w:tc>
        <w:tc>
          <w:tcPr>
            <w:tcW w:w="120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席加喜(2)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2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钟娜(2)</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吕立文</w:t>
            </w:r>
          </w:p>
        </w:tc>
        <w:tc>
          <w:tcPr>
            <w:tcW w:w="12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吕亚南</w:t>
            </w:r>
          </w:p>
        </w:tc>
        <w:tc>
          <w:tcPr>
            <w:tcW w:w="151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吕艳茹</w:t>
            </w:r>
          </w:p>
        </w:tc>
        <w:tc>
          <w:tcPr>
            <w:tcW w:w="13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兰桂萍</w:t>
            </w:r>
          </w:p>
        </w:tc>
        <w:tc>
          <w:tcPr>
            <w:tcW w:w="120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兰会华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42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李丽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(外联部)</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李伟</w:t>
            </w:r>
          </w:p>
        </w:tc>
        <w:tc>
          <w:tcPr>
            <w:tcW w:w="12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李师承</w:t>
            </w:r>
          </w:p>
        </w:tc>
        <w:tc>
          <w:tcPr>
            <w:tcW w:w="151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李夏珀</w:t>
            </w:r>
          </w:p>
        </w:tc>
        <w:tc>
          <w:tcPr>
            <w:tcW w:w="13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李燕华</w:t>
            </w:r>
          </w:p>
        </w:tc>
        <w:tc>
          <w:tcPr>
            <w:tcW w:w="120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李瑶宣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42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梁建波</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梁建平</w:t>
            </w:r>
          </w:p>
        </w:tc>
        <w:tc>
          <w:tcPr>
            <w:tcW w:w="12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梁岚</w:t>
            </w:r>
          </w:p>
        </w:tc>
        <w:tc>
          <w:tcPr>
            <w:tcW w:w="151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梁艳萍</w:t>
            </w:r>
          </w:p>
        </w:tc>
        <w:tc>
          <w:tcPr>
            <w:tcW w:w="13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林俊浩</w:t>
            </w:r>
          </w:p>
        </w:tc>
        <w:tc>
          <w:tcPr>
            <w:tcW w:w="120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林英忠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42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施春梅</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石捷</w:t>
            </w:r>
          </w:p>
        </w:tc>
        <w:tc>
          <w:tcPr>
            <w:tcW w:w="12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粟霞</w:t>
            </w:r>
          </w:p>
        </w:tc>
        <w:tc>
          <w:tcPr>
            <w:tcW w:w="151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覃素娇</w:t>
            </w:r>
          </w:p>
        </w:tc>
        <w:tc>
          <w:tcPr>
            <w:tcW w:w="13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唐芬</w:t>
            </w:r>
          </w:p>
        </w:tc>
        <w:tc>
          <w:tcPr>
            <w:tcW w:w="120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刘斐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42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唐凤珠</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唐娟</w:t>
            </w:r>
          </w:p>
        </w:tc>
        <w:tc>
          <w:tcPr>
            <w:tcW w:w="12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唐倩</w:t>
            </w:r>
          </w:p>
        </w:tc>
        <w:tc>
          <w:tcPr>
            <w:tcW w:w="151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唐振勇</w:t>
            </w:r>
          </w:p>
        </w:tc>
        <w:tc>
          <w:tcPr>
            <w:tcW w:w="13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王孟杰</w:t>
            </w:r>
          </w:p>
        </w:tc>
        <w:tc>
          <w:tcPr>
            <w:tcW w:w="120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吴月莲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42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王小燕</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危华玲</w:t>
            </w:r>
          </w:p>
        </w:tc>
        <w:tc>
          <w:tcPr>
            <w:tcW w:w="12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韦福</w:t>
            </w:r>
          </w:p>
        </w:tc>
        <w:tc>
          <w:tcPr>
            <w:tcW w:w="151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韦嘉章</w:t>
            </w:r>
          </w:p>
        </w:tc>
        <w:tc>
          <w:tcPr>
            <w:tcW w:w="13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翁敬锦</w:t>
            </w:r>
          </w:p>
        </w:tc>
        <w:tc>
          <w:tcPr>
            <w:tcW w:w="120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邬华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42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许冰</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许莉莉</w:t>
            </w:r>
          </w:p>
        </w:tc>
        <w:tc>
          <w:tcPr>
            <w:tcW w:w="12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许能文</w:t>
            </w:r>
          </w:p>
        </w:tc>
        <w:tc>
          <w:tcPr>
            <w:tcW w:w="151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阳文辉</w:t>
            </w:r>
          </w:p>
        </w:tc>
        <w:tc>
          <w:tcPr>
            <w:tcW w:w="13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杨苏萍</w:t>
            </w:r>
          </w:p>
        </w:tc>
        <w:tc>
          <w:tcPr>
            <w:tcW w:w="120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杨贞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42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陈晓宇</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陈彦红</w:t>
            </w:r>
          </w:p>
        </w:tc>
        <w:tc>
          <w:tcPr>
            <w:tcW w:w="12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陈治中</w:t>
            </w:r>
          </w:p>
        </w:tc>
        <w:tc>
          <w:tcPr>
            <w:tcW w:w="151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楚野</w:t>
            </w:r>
          </w:p>
        </w:tc>
        <w:tc>
          <w:tcPr>
            <w:tcW w:w="13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戴剑</w:t>
            </w:r>
          </w:p>
        </w:tc>
        <w:tc>
          <w:tcPr>
            <w:tcW w:w="120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邓达治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142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黄桂海</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张华君</w:t>
            </w:r>
          </w:p>
        </w:tc>
        <w:tc>
          <w:tcPr>
            <w:tcW w:w="12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蓝娇</w:t>
            </w:r>
          </w:p>
        </w:tc>
        <w:tc>
          <w:tcPr>
            <w:tcW w:w="151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陈春霞</w:t>
            </w:r>
          </w:p>
        </w:tc>
        <w:tc>
          <w:tcPr>
            <w:tcW w:w="13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陈启波</w:t>
            </w:r>
          </w:p>
        </w:tc>
        <w:tc>
          <w:tcPr>
            <w:tcW w:w="120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陈万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42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张本坚</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郭文文</w:t>
            </w:r>
          </w:p>
        </w:tc>
        <w:tc>
          <w:tcPr>
            <w:tcW w:w="12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张金桃</w:t>
            </w:r>
          </w:p>
        </w:tc>
        <w:tc>
          <w:tcPr>
            <w:tcW w:w="151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梁佳</w:t>
            </w:r>
          </w:p>
        </w:tc>
        <w:tc>
          <w:tcPr>
            <w:tcW w:w="13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何文静</w:t>
            </w:r>
          </w:p>
        </w:tc>
        <w:tc>
          <w:tcPr>
            <w:tcW w:w="120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黄定贵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42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黄丽燕</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黄陆颖</w:t>
            </w:r>
          </w:p>
        </w:tc>
        <w:tc>
          <w:tcPr>
            <w:tcW w:w="12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黄敏方</w:t>
            </w:r>
          </w:p>
        </w:tc>
        <w:tc>
          <w:tcPr>
            <w:tcW w:w="151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黄鹏</w:t>
            </w:r>
          </w:p>
        </w:tc>
        <w:tc>
          <w:tcPr>
            <w:tcW w:w="13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黄亿芸</w:t>
            </w:r>
          </w:p>
        </w:tc>
        <w:tc>
          <w:tcPr>
            <w:tcW w:w="120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黄寨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42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马隆佰</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马银瑶</w:t>
            </w:r>
          </w:p>
        </w:tc>
        <w:tc>
          <w:tcPr>
            <w:tcW w:w="12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毛一朴</w:t>
            </w:r>
          </w:p>
        </w:tc>
        <w:tc>
          <w:tcPr>
            <w:tcW w:w="151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蒙有轩</w:t>
            </w:r>
          </w:p>
        </w:tc>
        <w:tc>
          <w:tcPr>
            <w:tcW w:w="13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农生洲</w:t>
            </w:r>
          </w:p>
        </w:tc>
        <w:tc>
          <w:tcPr>
            <w:tcW w:w="120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欧晓丽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2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蓝倩倩</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雷灵</w:t>
            </w:r>
          </w:p>
        </w:tc>
        <w:tc>
          <w:tcPr>
            <w:tcW w:w="12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黎艳</w:t>
            </w:r>
          </w:p>
        </w:tc>
        <w:tc>
          <w:tcPr>
            <w:tcW w:w="151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李敏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(眼科)</w:t>
            </w:r>
          </w:p>
        </w:tc>
        <w:tc>
          <w:tcPr>
            <w:tcW w:w="13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李敏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(头颈科)</w:t>
            </w:r>
          </w:p>
        </w:tc>
        <w:tc>
          <w:tcPr>
            <w:tcW w:w="120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李金蓉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42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张琴</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张善磊</w:t>
            </w:r>
          </w:p>
        </w:tc>
        <w:tc>
          <w:tcPr>
            <w:tcW w:w="12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张少杰</w:t>
            </w:r>
          </w:p>
        </w:tc>
        <w:tc>
          <w:tcPr>
            <w:tcW w:w="151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钟晓刚</w:t>
            </w:r>
          </w:p>
        </w:tc>
        <w:tc>
          <w:tcPr>
            <w:tcW w:w="13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钟永泷</w:t>
            </w:r>
          </w:p>
        </w:tc>
        <w:tc>
          <w:tcPr>
            <w:tcW w:w="120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周礼圆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42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李友琼</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李柱海</w:t>
            </w:r>
          </w:p>
        </w:tc>
        <w:tc>
          <w:tcPr>
            <w:tcW w:w="12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梁斌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(骨科)</w:t>
            </w:r>
          </w:p>
        </w:tc>
        <w:tc>
          <w:tcPr>
            <w:tcW w:w="151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梁斌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(肝胆)</w:t>
            </w:r>
          </w:p>
        </w:tc>
        <w:tc>
          <w:tcPr>
            <w:tcW w:w="13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熊春翔</w:t>
            </w:r>
          </w:p>
        </w:tc>
        <w:tc>
          <w:tcPr>
            <w:tcW w:w="120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蒋伟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42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刘强</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刘诗丹</w:t>
            </w:r>
          </w:p>
        </w:tc>
        <w:tc>
          <w:tcPr>
            <w:tcW w:w="12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卢一郡</w:t>
            </w:r>
          </w:p>
        </w:tc>
        <w:tc>
          <w:tcPr>
            <w:tcW w:w="151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陆合明</w:t>
            </w:r>
          </w:p>
        </w:tc>
        <w:tc>
          <w:tcPr>
            <w:tcW w:w="13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霍晓聪</w:t>
            </w:r>
          </w:p>
        </w:tc>
        <w:tc>
          <w:tcPr>
            <w:tcW w:w="120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吉庆伟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42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吴赞华</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夏桂玉</w:t>
            </w:r>
          </w:p>
        </w:tc>
        <w:tc>
          <w:tcPr>
            <w:tcW w:w="12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肖和卫</w:t>
            </w:r>
          </w:p>
        </w:tc>
        <w:tc>
          <w:tcPr>
            <w:tcW w:w="151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谢治</w:t>
            </w:r>
          </w:p>
        </w:tc>
        <w:tc>
          <w:tcPr>
            <w:tcW w:w="13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周向阳</w:t>
            </w:r>
          </w:p>
        </w:tc>
        <w:tc>
          <w:tcPr>
            <w:tcW w:w="120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朱光美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42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吴东峰</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吴旭斌</w:t>
            </w:r>
          </w:p>
        </w:tc>
        <w:tc>
          <w:tcPr>
            <w:tcW w:w="12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焦伟</w:t>
            </w:r>
          </w:p>
        </w:tc>
        <w:tc>
          <w:tcPr>
            <w:tcW w:w="151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金雪峰</w:t>
            </w:r>
          </w:p>
        </w:tc>
        <w:tc>
          <w:tcPr>
            <w:tcW w:w="13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潜力</w:t>
            </w:r>
          </w:p>
        </w:tc>
        <w:tc>
          <w:tcPr>
            <w:tcW w:w="120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卿吉琳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42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杨子聪</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余水莲</w:t>
            </w:r>
          </w:p>
        </w:tc>
        <w:tc>
          <w:tcPr>
            <w:tcW w:w="12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曾思明</w:t>
            </w:r>
          </w:p>
        </w:tc>
        <w:tc>
          <w:tcPr>
            <w:tcW w:w="151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曾涛</w:t>
            </w:r>
          </w:p>
        </w:tc>
        <w:tc>
          <w:tcPr>
            <w:tcW w:w="13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邱小芩</w:t>
            </w:r>
          </w:p>
        </w:tc>
        <w:tc>
          <w:tcPr>
            <w:tcW w:w="120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沈朝兰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42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邓卓霞</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方志欣</w:t>
            </w:r>
          </w:p>
        </w:tc>
        <w:tc>
          <w:tcPr>
            <w:tcW w:w="12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傅桂芬</w:t>
            </w:r>
          </w:p>
        </w:tc>
        <w:tc>
          <w:tcPr>
            <w:tcW w:w="151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高秀娟</w:t>
            </w:r>
          </w:p>
        </w:tc>
        <w:tc>
          <w:tcPr>
            <w:tcW w:w="13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李雷</w:t>
            </w:r>
          </w:p>
        </w:tc>
        <w:tc>
          <w:tcPr>
            <w:tcW w:w="120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朱松山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42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蒋玲玉</w:t>
            </w:r>
          </w:p>
        </w:tc>
        <w:tc>
          <w:tcPr>
            <w:tcW w:w="1395" w:type="dxa"/>
            <w:vAlign w:val="center"/>
          </w:tcPr>
          <w:p>
            <w:pPr>
              <w:jc w:val="center"/>
              <w:rPr>
                <w:rFonts w:hint="eastAsia" w:ascii="宋体" w:hAnsi="宋体" w:eastAsia="宋体" w:cs="宋体"/>
                <w:i w:val="0"/>
                <w:iCs w:val="0"/>
                <w:color w:val="000000"/>
                <w:sz w:val="22"/>
                <w:szCs w:val="22"/>
                <w:u w:val="none"/>
                <w:lang w:val="en-US" w:eastAsia="zh-CN"/>
              </w:rPr>
            </w:pPr>
          </w:p>
        </w:tc>
        <w:tc>
          <w:tcPr>
            <w:tcW w:w="1240" w:type="dxa"/>
            <w:vAlign w:val="center"/>
          </w:tcPr>
          <w:p>
            <w:pPr>
              <w:jc w:val="center"/>
              <w:rPr>
                <w:rFonts w:hint="eastAsia" w:ascii="宋体" w:hAnsi="宋体" w:eastAsia="宋体" w:cs="宋体"/>
                <w:i w:val="0"/>
                <w:iCs w:val="0"/>
                <w:color w:val="000000"/>
                <w:sz w:val="22"/>
                <w:szCs w:val="22"/>
                <w:u w:val="none"/>
                <w:lang w:val="en-US" w:eastAsia="zh-CN"/>
              </w:rPr>
            </w:pPr>
          </w:p>
        </w:tc>
        <w:tc>
          <w:tcPr>
            <w:tcW w:w="1516" w:type="dxa"/>
            <w:vAlign w:val="center"/>
          </w:tcPr>
          <w:p>
            <w:pPr>
              <w:jc w:val="center"/>
              <w:rPr>
                <w:rFonts w:hint="eastAsia" w:ascii="宋体" w:hAnsi="宋体" w:eastAsia="宋体" w:cs="宋体"/>
                <w:i w:val="0"/>
                <w:iCs w:val="0"/>
                <w:color w:val="000000"/>
                <w:sz w:val="22"/>
                <w:szCs w:val="22"/>
                <w:u w:val="none"/>
                <w:lang w:val="en-US" w:eastAsia="zh-CN"/>
              </w:rPr>
            </w:pPr>
          </w:p>
        </w:tc>
        <w:tc>
          <w:tcPr>
            <w:tcW w:w="1300" w:type="dxa"/>
            <w:vAlign w:val="center"/>
          </w:tcPr>
          <w:p>
            <w:pPr>
              <w:jc w:val="center"/>
              <w:rPr>
                <w:rFonts w:hint="eastAsia" w:ascii="宋体" w:hAnsi="宋体" w:eastAsia="宋体" w:cs="宋体"/>
                <w:i w:val="0"/>
                <w:iCs w:val="0"/>
                <w:color w:val="000000"/>
                <w:sz w:val="22"/>
                <w:szCs w:val="22"/>
                <w:u w:val="none"/>
                <w:lang w:val="en-US" w:eastAsia="zh-CN"/>
              </w:rPr>
            </w:pPr>
          </w:p>
        </w:tc>
        <w:tc>
          <w:tcPr>
            <w:tcW w:w="1206" w:type="dxa"/>
            <w:vAlign w:val="center"/>
          </w:tcPr>
          <w:p>
            <w:pPr>
              <w:jc w:val="center"/>
              <w:rPr>
                <w:rFonts w:hint="eastAsia" w:ascii="宋体" w:hAnsi="宋体" w:eastAsia="宋体" w:cs="宋体"/>
                <w:i w:val="0"/>
                <w:iCs w:val="0"/>
                <w:color w:val="000000"/>
                <w:sz w:val="22"/>
                <w:szCs w:val="22"/>
                <w:u w:val="none"/>
                <w:lang w:val="en-US" w:eastAsia="zh-CN"/>
              </w:rPr>
            </w:pPr>
          </w:p>
        </w:tc>
      </w:tr>
    </w:tbl>
    <w:p>
      <w:pPr>
        <w:keepNext w:val="0"/>
        <w:keepLines w:val="0"/>
        <w:pageBreakBefore w:val="0"/>
        <w:widowControl w:val="0"/>
        <w:kinsoku/>
        <w:wordWrap/>
        <w:overflowPunct/>
        <w:topLinePunct w:val="0"/>
        <w:autoSpaceDE/>
        <w:autoSpaceDN/>
        <w:bidi w:val="0"/>
        <w:adjustRightInd/>
        <w:snapToGrid/>
        <w:spacing w:before="100"/>
        <w:ind w:firstLine="420" w:firstLineChars="0"/>
        <w:textAlignment w:val="auto"/>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注：名后括号内数字意为所获不</w:t>
      </w:r>
      <w:bookmarkStart w:id="0" w:name="_GoBack"/>
      <w:bookmarkEnd w:id="0"/>
      <w:r>
        <w:rPr>
          <w:rFonts w:hint="eastAsia" w:ascii="仿宋_GB2312" w:hAnsi="仿宋_GB2312" w:eastAsia="仿宋_GB2312" w:cs="仿宋_GB2312"/>
          <w:sz w:val="20"/>
          <w:szCs w:val="20"/>
          <w:lang w:val="en-US" w:eastAsia="zh-CN"/>
        </w:rPr>
        <w:t>同奖项次数，同等次数排名不分先后。</w:t>
      </w:r>
    </w:p>
    <w:p>
      <w:pPr>
        <w:tabs>
          <w:tab w:val="left" w:pos="1148"/>
        </w:tabs>
        <w:bidi w:val="0"/>
        <w:jc w:val="left"/>
        <w:rPr>
          <w:rFonts w:hint="eastAsia" w:ascii="Times New Roman" w:hAnsi="Times New Roman" w:eastAsia="仿宋" w:cstheme="minorBidi"/>
          <w:kern w:val="2"/>
          <w:sz w:val="28"/>
          <w:szCs w:val="24"/>
          <w:lang w:val="en-US" w:eastAsia="zh-CN" w:bidi="ar-SA"/>
        </w:rPr>
      </w:pPr>
      <w:r>
        <w:rPr>
          <w:rFonts w:hint="eastAsia" w:cstheme="minorBidi"/>
          <w:kern w:val="2"/>
          <w:sz w:val="28"/>
          <w:szCs w:val="24"/>
          <w:lang w:val="en-US" w:eastAsia="zh-CN" w:bidi="ar-SA"/>
        </w:rP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yNTM4ZDZmNGI3Y2Q4ZTI3NzlkZTAyOTM1NmZhZDgifQ=="/>
  </w:docVars>
  <w:rsids>
    <w:rsidRoot w:val="00172A27"/>
    <w:rsid w:val="085745D2"/>
    <w:rsid w:val="08D144E8"/>
    <w:rsid w:val="0CEA062F"/>
    <w:rsid w:val="19985077"/>
    <w:rsid w:val="23F651FC"/>
    <w:rsid w:val="351C723C"/>
    <w:rsid w:val="375D5979"/>
    <w:rsid w:val="40A77F66"/>
    <w:rsid w:val="455C0B28"/>
    <w:rsid w:val="7AC2379F"/>
    <w:rsid w:val="7BD835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heme="minorBidi"/>
      <w:kern w:val="2"/>
      <w:sz w:val="28"/>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
    <w:name w:val="font31"/>
    <w:basedOn w:val="4"/>
    <w:qFormat/>
    <w:uiPriority w:val="0"/>
    <w:rPr>
      <w:rFonts w:ascii="Calibri" w:hAnsi="Calibri" w:cs="Calibri"/>
      <w:color w:val="000000"/>
      <w:sz w:val="21"/>
      <w:szCs w:val="21"/>
      <w:u w:val="none"/>
    </w:rPr>
  </w:style>
  <w:style w:type="character" w:customStyle="1" w:styleId="6">
    <w:name w:val="font11"/>
    <w:basedOn w:val="4"/>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2139</Words>
  <Characters>2213</Characters>
  <Lines>0</Lines>
  <Paragraphs>0</Paragraphs>
  <TotalTime>2</TotalTime>
  <ScaleCrop>false</ScaleCrop>
  <LinksUpToDate>false</LinksUpToDate>
  <CharactersWithSpaces>2217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2022-09-16T02:21:00Z</dcterms:created>
  <dc:creator>Administrator</dc:creator>
  <cp:lastModifiedBy>Administrator</cp:lastModifiedBy>
  <dcterms:modified xsi:type="dcterms:W3CDTF">2022-09-16T08:45:48Z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B1E753A1E1CE4756B48D97F29D127E9E</vt:lpwstr>
  </property>
</Properties>
</file>