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广西壮族自治区人民医院关于</w:t>
      </w:r>
      <w:r>
        <w:rPr>
          <w:rFonts w:hint="default" w:ascii="Times New Roman" w:hAnsi="Times New Roman" w:eastAsia="方正小标宋_GBK" w:cs="Times New Roman"/>
          <w:sz w:val="36"/>
          <w:szCs w:val="36"/>
          <w:lang w:val="en-US" w:eastAsia="zh-CN"/>
        </w:rPr>
        <w:t>20</w:t>
      </w:r>
      <w:r>
        <w:rPr>
          <w:rFonts w:hint="eastAsia" w:eastAsia="方正小标宋_GBK" w:cs="Times New Roman"/>
          <w:sz w:val="36"/>
          <w:szCs w:val="36"/>
          <w:lang w:val="en-US" w:eastAsia="zh-CN"/>
        </w:rPr>
        <w:t>20</w:t>
      </w:r>
      <w:r>
        <w:rPr>
          <w:rFonts w:hint="eastAsia" w:ascii="方正小标宋_GBK" w:hAnsi="方正小标宋_GBK" w:eastAsia="方正小标宋_GBK" w:cs="方正小标宋_GBK"/>
          <w:sz w:val="36"/>
          <w:szCs w:val="36"/>
          <w:lang w:val="en-US" w:eastAsia="zh-CN"/>
        </w:rPr>
        <w:t>年度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36"/>
          <w:szCs w:val="36"/>
          <w:lang w:val="en-US" w:eastAsia="zh-CN"/>
        </w:rPr>
        <w:t>新技术新项目完成奖和</w:t>
      </w:r>
      <w:r>
        <w:rPr>
          <w:rFonts w:hint="eastAsia" w:ascii="方正小标宋_GBK" w:hAnsi="方正小标宋_GBK" w:eastAsia="方正小标宋_GBK" w:cs="方正小标宋_GBK"/>
          <w:sz w:val="36"/>
          <w:szCs w:val="36"/>
        </w:rPr>
        <w:t>科技拔尖人才</w:t>
      </w:r>
      <w:r>
        <w:rPr>
          <w:rFonts w:hint="eastAsia" w:ascii="方正小标宋_GBK" w:hAnsi="方正小标宋_GBK" w:eastAsia="方正小标宋_GBK" w:cs="方正小标宋_GBK"/>
          <w:sz w:val="36"/>
          <w:szCs w:val="36"/>
          <w:lang w:val="en-US" w:eastAsia="zh-CN"/>
        </w:rPr>
        <w:t>的公示</w:t>
      </w:r>
    </w:p>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00" w:after="140"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20</w:t>
      </w:r>
      <w:r>
        <w:rPr>
          <w:rFonts w:hint="eastAsia" w:ascii="仿宋_GB2312" w:hAnsi="仿宋_GB2312" w:eastAsia="仿宋_GB2312" w:cs="仿宋_GB2312"/>
          <w:sz w:val="28"/>
          <w:szCs w:val="28"/>
          <w:lang w:val="en-US" w:eastAsia="zh-CN"/>
        </w:rPr>
        <w:t>年度新技术新项目完成奖（临床技术类）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588"/>
        <w:gridCol w:w="2894"/>
        <w:gridCol w:w="2224"/>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检验科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银屑病生物标志物与治疗药物筛选及其临床应用</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袁育林、覃群师、罗裕、谢治、阳文辉、陈杏园</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心血管内科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广西壮族人群IL-35信号通路关键细胞因子基因多态性与冠心病及认知功能障碍的临床观察及机制探讨</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施莹、刘海润、薛焱、吉庆伟、杨子聪、林英忠、刘伶</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临床检验中心</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葡萄糖-6-磷酸脱氢酶质控品研制和临床应用研究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唐娟、周向阳、刘晓春、周微雅、何毅、龙喜贵、张金立、宁乐平、黄科钧、佘尚阳</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放射科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多模态MR技术在颈部淋巴结定性诊断临床应用研究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满育平、马隆佰、韦海明、郑红雨、陆锦龙、韩武、林华、周和秀</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口腔科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重度骨性Ⅲ类错合非手术治疗规范化模式建立与应用示范</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周嫣、黄敏方、方志欣、张大灵、龙智灵、卢其芳</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视光中心</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波前像差技术在屈光参差性弱视眼光学质量评估中的应用</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赵武校、甘露、蓝方方、李志超、罗妍、刘伟民</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心胸血管外科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新型三尖瓣成形术的前瞻性临床研究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龙小毛、林辉、钟永泷、贺榜福、蒋伟、温昭科、周一凡、雷涛</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耳鼻咽喉头颈科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中性粒细胞、口咽温度与鼻咽癌放射性咽炎的关联研究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翁敬锦、韦嘉章、覃扬达、李敏、瞿申红、陆锦龙、黄波、韩星、兰桂萍、江河、司勇锋</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眼科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激光共聚焦显微镜在感染性角膜炎诊疗中的临床应用</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蓝倩倩、曾思明、李敏、陈琦、陈丽妃、沈朝兰、黄慧、满平仪</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关节.运动医学外科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快速康复方案在全髋关节置换术中的临床应用</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尹东、黄晓、黄宇、刘文辉、李富林、黄文文、莫冰峰、梁斌、孙可、熊春翔、唐四桂、陈闵、黄云英、黄戈</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体检中心</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代谢紊乱体检人群的多学科协作健康管理研究与实践</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黄国秀、庞羽、伍朝春、李卫、罗珍玉、罗颖华、吴苏疆、谈佳、李佳</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体检中心</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EB病毒Rta蛋白抗体IgG在鼻咽癌高发区早期筛查研究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李卫、刘斐、黄定贵、傅荧、何祺、罗珍玉、赖丽平、张伶、潘柳先、黄小知</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肝胆胰脾外科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甲状旁腺全切除术治疗继发于尿毒症的甲状旁腺功能亢进的研究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刘天奇、唐耘天、陈元元、李梦阳、黄宇、唐振勇、潘音桦、董小锋、姚思扬</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麻醉科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右美托咪定联合肺保护性通气策略在胸腔镜手术中的应用</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龚拯、马利、黄爱兰、唐莹、朱蔚琳、余军、栗俊、韦慧君、龙小毛</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妇科</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单孔腹腔镜下子宫内膜癌分期手术的应用研究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赵仁峰、黄晖媛、莫伟英、刘妮平、黄伟容、夏秀芳、韦利英</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健康管理中心</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知信行模式对中青年正常高值血压人群遵医行为的影响</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杨敏、唐轲、谈佳、谢伟玲、陆茜、刘莎、吴苏疆、陈丽平、甘剑挺、罗珍玉、黄定贵、覃素娇、金献萍、莫永红</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四等奖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58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药学部</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I类切口颅脑手术围手术期预防性应用不同抗菌药物的效果评价研究</w:t>
            </w:r>
          </w:p>
        </w:tc>
        <w:tc>
          <w:tcPr>
            <w:tcW w:w="22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金雪峰、陈英、陈晓宇、邓璧、杨周生、何叶连</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四等奖</w:t>
            </w:r>
          </w:p>
        </w:tc>
      </w:tr>
    </w:tbl>
    <w:p>
      <w:pPr>
        <w:keepNext w:val="0"/>
        <w:keepLines w:val="0"/>
        <w:pageBreakBefore w:val="0"/>
        <w:widowControl w:val="0"/>
        <w:kinsoku/>
        <w:wordWrap/>
        <w:overflowPunct/>
        <w:topLinePunct w:val="0"/>
        <w:autoSpaceDE/>
        <w:autoSpaceDN/>
        <w:bidi w:val="0"/>
        <w:adjustRightInd/>
        <w:snapToGrid/>
        <w:spacing w:before="100" w:after="140" w:line="40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表</w:t>
      </w:r>
      <w:r>
        <w:rPr>
          <w:rFonts w:hint="eastAsia" w:eastAsia="仿宋_GB2312" w:cs="Times New Roman"/>
          <w:sz w:val="28"/>
          <w:szCs w:val="28"/>
          <w:lang w:val="en-US" w:eastAsia="zh-CN"/>
        </w:rPr>
        <w:t>2</w:t>
      </w: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20</w:t>
      </w:r>
      <w:r>
        <w:rPr>
          <w:rFonts w:hint="eastAsia" w:ascii="仿宋_GB2312" w:hAnsi="仿宋_GB2312" w:eastAsia="仿宋_GB2312" w:cs="仿宋_GB2312"/>
          <w:sz w:val="28"/>
          <w:szCs w:val="28"/>
          <w:lang w:val="en-US" w:eastAsia="zh-CN"/>
        </w:rPr>
        <w:t>年度新技术新项目完成奖（基础研究类）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570"/>
        <w:gridCol w:w="2912"/>
        <w:gridCol w:w="2215"/>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57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9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33"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7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耳鼻咽喉头颈科</w:t>
            </w:r>
          </w:p>
        </w:tc>
        <w:tc>
          <w:tcPr>
            <w:tcW w:w="29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EB病毒通过重塑钙信号对鼻咽癌细胞转移侵袭能力的调控及其机制</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韦嘉章、瞿申红、翁敬锦、李敏、刘斐</w:t>
            </w:r>
          </w:p>
        </w:tc>
        <w:tc>
          <w:tcPr>
            <w:tcW w:w="124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33"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57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科研实验中心</w:t>
            </w:r>
          </w:p>
        </w:tc>
        <w:tc>
          <w:tcPr>
            <w:tcW w:w="29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经由ZBTB7A调控的鼻咽癌lncRNAs和mRNAs基因表达谱研究</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刘斐、焦伟、瞿申红、韦嘉章、蒿艳蓉、蓝娇、唐凤珠、肖瑞平、莫明峥、苏成</w:t>
            </w:r>
          </w:p>
        </w:tc>
        <w:tc>
          <w:tcPr>
            <w:tcW w:w="124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33"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57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检验科</w:t>
            </w:r>
          </w:p>
        </w:tc>
        <w:tc>
          <w:tcPr>
            <w:tcW w:w="29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罕见α-地中海贫血分子鉴定及诊断方法的研究</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陈杏园、罗世强、袁育林、阳文辉、宁乐平、姜烈君</w:t>
            </w:r>
          </w:p>
        </w:tc>
        <w:tc>
          <w:tcPr>
            <w:tcW w:w="124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33"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57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检验科</w:t>
            </w:r>
          </w:p>
        </w:tc>
        <w:tc>
          <w:tcPr>
            <w:tcW w:w="29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乳腺癌组织CELSR2和ING4的亚细胞定位表达及其与激素受体状态和临床病理特征的关系</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姜烈君、周莹、谭春艳、兰会华、韦强、邓爽、张敏、黄华艺</w:t>
            </w:r>
          </w:p>
        </w:tc>
        <w:tc>
          <w:tcPr>
            <w:tcW w:w="124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bl>
    <w:p>
      <w:pPr>
        <w:keepNext w:val="0"/>
        <w:keepLines w:val="0"/>
        <w:pageBreakBefore w:val="0"/>
        <w:widowControl w:val="0"/>
        <w:kinsoku/>
        <w:wordWrap/>
        <w:overflowPunct/>
        <w:topLinePunct w:val="0"/>
        <w:autoSpaceDE/>
        <w:autoSpaceDN/>
        <w:bidi w:val="0"/>
        <w:adjustRightInd/>
        <w:snapToGrid/>
        <w:spacing w:before="100" w:after="140" w:line="40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表</w:t>
      </w:r>
      <w:r>
        <w:rPr>
          <w:rFonts w:hint="eastAsia" w:eastAsia="仿宋_GB2312" w:cs="Times New Roman"/>
          <w:sz w:val="28"/>
          <w:szCs w:val="28"/>
          <w:lang w:val="en-US" w:eastAsia="zh-CN"/>
        </w:rPr>
        <w:t>3</w:t>
      </w: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20</w:t>
      </w:r>
      <w:r>
        <w:rPr>
          <w:rFonts w:hint="eastAsia" w:ascii="仿宋_GB2312" w:hAnsi="仿宋_GB2312" w:eastAsia="仿宋_GB2312" w:cs="仿宋_GB2312"/>
          <w:sz w:val="28"/>
          <w:szCs w:val="28"/>
          <w:lang w:val="en-US" w:eastAsia="zh-CN"/>
        </w:rPr>
        <w:t>年度新技术新项目完成奖（综合管理类）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561"/>
        <w:gridCol w:w="2903"/>
        <w:gridCol w:w="221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4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56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90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25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42"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6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医疗管理科</w:t>
            </w:r>
          </w:p>
        </w:tc>
        <w:tc>
          <w:tcPr>
            <w:tcW w:w="290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医疗管理信息化及记分量化研究与应用</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陈武朝、钟晓刚、张国、马刚、徐建玲、刘妮平、李虎、王浜琴、罗茜倩、梁哲</w:t>
            </w:r>
          </w:p>
        </w:tc>
        <w:tc>
          <w:tcPr>
            <w:tcW w:w="1257"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42"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56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药学部</w:t>
            </w:r>
          </w:p>
        </w:tc>
        <w:tc>
          <w:tcPr>
            <w:tcW w:w="290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六西格玛管理模式在静脉用药调配中心质量控制中的应用研究</w:t>
            </w:r>
          </w:p>
        </w:tc>
        <w:tc>
          <w:tcPr>
            <w:tcW w:w="221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陈红霞、陈晓宇、郭炎荣、陈英、危华玲、谭思涛、李秋实、梁艳香</w:t>
            </w:r>
          </w:p>
        </w:tc>
        <w:tc>
          <w:tcPr>
            <w:tcW w:w="1257"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四等奖</w:t>
            </w:r>
          </w:p>
        </w:tc>
      </w:tr>
    </w:tbl>
    <w:p>
      <w:pPr>
        <w:keepNext w:val="0"/>
        <w:keepLines w:val="0"/>
        <w:pageBreakBefore w:val="0"/>
        <w:widowControl w:val="0"/>
        <w:kinsoku/>
        <w:wordWrap/>
        <w:overflowPunct/>
        <w:topLinePunct w:val="0"/>
        <w:autoSpaceDE/>
        <w:autoSpaceDN/>
        <w:bidi w:val="0"/>
        <w:adjustRightInd/>
        <w:snapToGrid/>
        <w:spacing w:after="140" w:line="4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表</w:t>
      </w:r>
      <w:r>
        <w:rPr>
          <w:rFonts w:hint="default" w:ascii="Times New Roman" w:hAnsi="Times New Roman" w:eastAsia="仿宋_GB2312" w:cs="Times New Roman"/>
          <w:sz w:val="28"/>
          <w:szCs w:val="28"/>
          <w:lang w:val="en-US" w:eastAsia="zh-CN"/>
        </w:rPr>
        <w:t>4</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20</w:t>
      </w:r>
      <w:r>
        <w:rPr>
          <w:rFonts w:hint="eastAsia" w:ascii="仿宋_GB2312" w:hAnsi="仿宋_GB2312" w:eastAsia="仿宋_GB2312" w:cs="仿宋_GB2312"/>
          <w:sz w:val="28"/>
          <w:szCs w:val="28"/>
        </w:rPr>
        <w:t>年度科技拔尖人才奖名单（</w:t>
      </w:r>
      <w:r>
        <w:rPr>
          <w:rFonts w:hint="eastAsia" w:eastAsia="仿宋_GB2312" w:cs="Times New Roman"/>
          <w:sz w:val="28"/>
          <w:szCs w:val="28"/>
          <w:lang w:val="en-US" w:eastAsia="zh-CN"/>
        </w:rPr>
        <w:t>147</w:t>
      </w:r>
      <w:r>
        <w:rPr>
          <w:rFonts w:hint="eastAsia" w:ascii="仿宋_GB2312" w:hAnsi="仿宋_GB2312" w:eastAsia="仿宋_GB2312" w:cs="仿宋_GB2312"/>
          <w:sz w:val="28"/>
          <w:szCs w:val="28"/>
        </w:rPr>
        <w:t>人，</w:t>
      </w:r>
      <w:r>
        <w:rPr>
          <w:rFonts w:hint="eastAsia" w:eastAsia="仿宋_GB2312" w:cs="Times New Roman"/>
          <w:sz w:val="28"/>
          <w:szCs w:val="28"/>
          <w:lang w:val="en-US" w:eastAsia="zh-CN"/>
        </w:rPr>
        <w:t>185</w:t>
      </w:r>
      <w:r>
        <w:rPr>
          <w:rFonts w:hint="eastAsia" w:ascii="仿宋_GB2312" w:hAnsi="仿宋_GB2312" w:eastAsia="仿宋_GB2312" w:cs="仿宋_GB2312"/>
          <w:sz w:val="28"/>
          <w:szCs w:val="28"/>
        </w:rPr>
        <w:t>人次）</w:t>
      </w:r>
    </w:p>
    <w:tbl>
      <w:tblPr>
        <w:tblStyle w:val="3"/>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395"/>
        <w:gridCol w:w="1344"/>
        <w:gridCol w:w="1412"/>
        <w:gridCol w:w="130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尹东（4）</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刘斐（3）</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瞿申红（3）</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韦嘉章（3）</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翁敬锦（3）</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袁育林（3）</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姜烈君（3）</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杨建荣（2）</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曾思明（2）</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陈杏园(2)</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崔凌(2)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何文静(2)</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胡巧(2)</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吉庆伟(2)</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陈武朝(2)</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蓝倩倩(2)</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李敏（2）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（耳鼻咽喉头颈科）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刘海润（2）</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黄定贵（2）</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罗裕（2）</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陆合明（2）</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吕亚南（2）</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马利（2）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欧裕福（2）</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韦海明（2）</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韦建勋（2）</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谢治（2）</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龚拯(2)</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黄国秀（2）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叶琨（1.5）</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钟晓刚（1.5）</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傅桂芬</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邹全庆</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宋怀宇</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罗焰芳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陈红霞</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陈万</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陈晓宇</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陈兴洲</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陈永凤</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董小锋</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范秉林</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方喻</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方志欣</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甘露</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蒿艳蓉</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贺红光</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贺琰</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阳昊</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王文杰</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黄晖媛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黄敏方</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黄鹏</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黄晓</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黄亿芸</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黄寨</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金先跃</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金雪峰</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康利克</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孔凡彪</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兰海燕</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蓝方方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李丽丽</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（眼科）</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李荣祝</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李司懿</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李伟</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李燕华</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李友琼</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(骨科)</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梁斌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（推拿科）</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林辉</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林英忠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蔺心敬</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刘伶</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刘天奇</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刘晓春</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刘泽峰</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龙小毛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罗世强</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罗珍玉</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吕健</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吕立文</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马隆佰</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麦威</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满育平</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莫柱宁</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庞羽</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彭丹丹</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秦俭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秦志强</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卿德峰</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沈朝兰</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施莹</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石磊</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孙可</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覃群师</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覃素娇</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唐芬</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唐娟</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唐盛</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唐玉红</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唐耘天</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王琛</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王程</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王小燕</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王晓通</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韦俏宇</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吴东峰</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肖和卫</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肖艳菊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薛焱</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阳文辉</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杨敏</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杨周生</w:t>
            </w:r>
            <w:bookmarkStart w:id="0" w:name="_GoBack"/>
            <w:bookmarkEnd w:id="0"/>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叶会兰</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余雷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张国</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张雅莉</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赵仁峰</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赵武校</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赵昕</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郑红雨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钟海彬</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周向阳</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周嫣</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周莹</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朱光美</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戴丽英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张馨</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李小珍</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宁伟峰</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吕新新</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陈芊晓</w:t>
            </w: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陈治中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廖鑫</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w:t>
            </w:r>
          </w:p>
        </w:tc>
        <w:tc>
          <w:tcPr>
            <w:tcW w:w="13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卿吉琳（0.5）</w:t>
            </w:r>
          </w:p>
        </w:tc>
        <w:tc>
          <w:tcPr>
            <w:tcW w:w="134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殷舞</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w:t>
            </w:r>
          </w:p>
        </w:tc>
        <w:tc>
          <w:tcPr>
            <w:tcW w:w="141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59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before="100"/>
        <w:ind w:firstLine="420" w:firstLineChars="0"/>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注：名后括号内数字意为所获不同奖项次数，同等次数排名不分先后。</w:t>
      </w:r>
    </w:p>
    <w:p>
      <w:pPr>
        <w:tabs>
          <w:tab w:val="left" w:pos="1148"/>
        </w:tabs>
        <w:bidi w:val="0"/>
        <w:jc w:val="left"/>
        <w:rPr>
          <w:rFonts w:hint="eastAsia" w:ascii="Times New Roman" w:hAnsi="Times New Roman" w:eastAsia="仿宋" w:cstheme="minorBidi"/>
          <w:kern w:val="2"/>
          <w:sz w:val="28"/>
          <w:szCs w:val="24"/>
          <w:lang w:val="en-US" w:eastAsia="zh-CN" w:bidi="ar-SA"/>
        </w:rPr>
      </w:pPr>
      <w:r>
        <w:rPr>
          <w:rFonts w:hint="eastAsia" w:cstheme="minorBidi"/>
          <w:kern w:val="2"/>
          <w:sz w:val="28"/>
          <w:szCs w:val="24"/>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NTM4ZDZmNGI3Y2Q4ZTI3NzlkZTAyOTM1NmZhZDgifQ=="/>
  </w:docVars>
  <w:rsids>
    <w:rsidRoot w:val="00172A27"/>
    <w:rsid w:val="085745D2"/>
    <w:rsid w:val="08D144E8"/>
    <w:rsid w:val="0CEA062F"/>
    <w:rsid w:val="19985077"/>
    <w:rsid w:val="23F651FC"/>
    <w:rsid w:val="351C723C"/>
    <w:rsid w:val="375D5979"/>
    <w:rsid w:val="40A77F66"/>
    <w:rsid w:val="455C0B28"/>
    <w:rsid w:val="6644214D"/>
    <w:rsid w:val="676E5BF7"/>
    <w:rsid w:val="700F673F"/>
    <w:rsid w:val="7AC2379F"/>
    <w:rsid w:val="7BD8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4"/>
      <w:lang w:val="en-US" w:eastAsia="zh-CN" w:bidi="ar-SA"/>
    </w:rPr>
  </w:style>
  <w:style w:type="character" w:default="1" w:styleId="4">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ascii="Calibri" w:hAnsi="Calibri" w:cs="Calibri"/>
      <w:color w:val="000000"/>
      <w:sz w:val="21"/>
      <w:szCs w:val="21"/>
      <w:u w:val="none"/>
    </w:rPr>
  </w:style>
  <w:style w:type="character" w:customStyle="1" w:styleId="6">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2166</Words>
  <Characters>2286</Characters>
  <Lines>1</Lines>
  <Paragraphs>1</Paragraphs>
  <TotalTime>1</TotalTime>
  <ScaleCrop>false</ScaleCrop>
  <LinksUpToDate>false</LinksUpToDate>
  <CharactersWithSpaces>2306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2022-09-16T02:21:00Z</dcterms:created>
  <dc:creator>Administrator</dc:creator>
  <cp:lastModifiedBy>Administrator</cp:lastModifiedBy>
  <dcterms:modified xsi:type="dcterms:W3CDTF">2022-09-16T09:33:56Z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36E6156185674FE3B4F6D88900291081</vt:lpwstr>
  </property>
</Properties>
</file>